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584/2011 vom 22. Dezember 2011</w:t>
      </w:r>
    </w:p>
    <w:p>
      <w:r>
        <w:t>Bundesgericht, 2011-12-22, FR</w:t>
      </w:r>
    </w:p>
    <w:p>
      <w:r>
        <w:rPr>
          <w:b/>
        </w:rPr>
        <w:t xml:space="preserve">Quelle: </w:t>
      </w:r>
      <w:r>
        <w:t>https://mcp.opencaselaw.ch/entscheid/bger_4A_584_2011</w:t>
      </w:r>
    </w:p>
    <w:p>
      <w:r>
        <w:t>FR: TF 4A 584/2011 du 22 décembre 2011</w:t>
      </w:r>
    </w:p>
    <w:p>
      <w:r>
        <w:t>IT: TF 4A 584/2011 del 22 dicembre 2011</w:t>
      </w:r>
    </w:p>
    <w:p>
      <w:pPr>
        <w:pStyle w:val="Heading2"/>
      </w:pPr>
      <w:r>
        <w:t>Regeste</w:t>
      </w:r>
    </w:p>
    <w:p>
      <w:r>
        <w:t>prétention contractuelle; qualité pour défendre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quoique son auteur eût dû demander explicitement, au moins, l'annulation de la décision attaquée,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Le succès de toute action soumise au droit civil fédéral suppose que les parties au procès aient respectivement, sur chacune des prétentions en cause, qualité pour agir et pour défendre au regard de ce droit; il s'agit de points décisifs que le juge doit élucider d'office ( ATF 136 III 365 consid. 2.1 p. 367; 126 III 59 consid. 1a p. 63; 125 III 82 consid. 1a p. 83). Dans l'action tendant au paiement d'un salaire, la qualité pour défendre appartient à l'employeur obligé selon l' art. 322 CO . Celui qui prétend au paiement doit d'abord établir que la partie contre qui il dirige l'action a manifesté la volonté de se lier à lui par un contrat de travail selon l' art. 319 CO , de manière expresse ou tacite selon l' art. 1 CO ; il peut aussi établir qu'un représentant ou organe autorisé selon l' art. 32 CO a manifesté la volonté de conclure au nom de la partie défenderesse.</w:t>
      </w:r>
    </w:p>
    <w:p>
      <w:r>
        <w:rPr>
          <w:b/>
        </w:rPr>
        <w:t>E. 3</w:t>
      </w:r>
    </w:p>
    <w:p>
      <w:r>
        <w:t>Ni le jugement de première instance ni celui présentement attaqué ne contiennent aucune narration même sommaire des circonstances dans lesquelles la demanderesse a censément été engagée afin d'accomplir une activité salariée. Quelques documents sont seuls décrits, de manière d'ailleurs fragmentaire; on ne sait notamment rien des signatures de personnes physiques dont - le cas échéant - ces pièces sont revêtues. Il s'agit d'un projet de contrat de travail que X.________ n'a pas signé, d'un bulletin de salaire et de diverses attestations ou déclarations. Le projet de contrat et d'autres pièces font référence à une entreprise « B.________ » qui n'est pas inscrite sur le registre du commerce. Le bulletin de salaire mentionne aussi A.________ AG à Epsach. L'adresse de B.________ coïncide parfois avec celle de A.________ AG. Une désignation « Betreuung-plus » apparaît également; celle-ci correspond à une raison individuelle que C.________ a fait inscrire dès mai 2009, elle aussi ... à Epsach. La demanderesse ne prétend cependant pas que les constatations des autorités précédentes soient incomplètes. Il apparaît au contraire qu'elle a renoncé à réclamer des constatations plus détaillées en tant que devant le Tribunal civil, elle a convenu avec l'adverse partie de renoncer à l'audience du jugement parce que « les preuves [étaient] limitées aux pièces ». La demanderesse développe une narration dans son mémoire de recours au Tribunal fédéral. Elle semble ainsi ignorer que les faits de la décision attaquée sont seuls pris en considération, selon l' art. 105 al. 1 LTF , que l' art. 99 al. 1 LTF n'autorise pas les parties à alléguer des faits nouveaux et qu'il n'appartient pas au Tribunal fédéral d'instruire la cause en fait. Une discussion des pièces produites est mêlée à cet exposé. La demanderesse tente de démontrer que sa propre analyse des documents, que le Tribunal civil a adoptée, doit être préférée à celle de la Chambre des recours, laquelle est parvenue à la conclusion qu'un hypothétique contrat de travail n'a pas été conclu par la défenderesse ni en son nom. Or, il appartient au juge du fait de constater les manifestations de volonté propres à déterminer la qualité pour défendre, c'est-à-dire de constater, sur la base de l'appréciation des preuves et de manière aussi détaillée que nécessaire, quelles personnes ont exprimé quelles volontés et dans quelles circonstances (cf. ATF 135 III 410 consid. 3.2 p. 412; 133 III 675 consid. 3.3 p. 681). Le Tribunal fédéral n'exerce à ce sujet que le contrôle restreint prévu par l' art. 97 al. 1 LTF . La demanderesse développe ses propres opinions sur les éléments discutés par la Chambre des recours et on ne trouve pas sur quel point elle lui reproche réellement, sinon par de simples dénégations ou protestations, d'avoir commis une erreur indéniable ou de s'être livrée à une appréciation absolument insoutenable. Cette argumentation ne satisfait pas aux exigences relatives à la motivation des griefs dirigés contre des constatations de fait, ce qui entraîne l'irrecevabilité du recours.</w:t>
      </w:r>
    </w:p>
    <w:p>
      <w:r>
        <w:rPr>
          <w:b/>
        </w:rPr>
        <w:t>E. 4</w:t>
      </w:r>
    </w:p>
    <w:p>
      <w:r>
        <w:t>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