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4A_583/2020 vom 19. Januar 2021</w:t>
      </w:r>
    </w:p>
    <w:p>
      <w:r>
        <w:t>Bundesgericht, 2021-01-19, DE</w:t>
      </w:r>
    </w:p>
    <w:p>
      <w:r>
        <w:rPr>
          <w:b/>
        </w:rPr>
        <w:t xml:space="preserve">Quelle: </w:t>
      </w:r>
      <w:r>
        <w:t>https://mcp.opencaselaw.ch/entscheid/bger_4A_583_2020</w:t>
      </w:r>
    </w:p>
    <w:p>
      <w:r>
        <w:t>FR: TF 4A_583/2020 du 19 janvier 2021</w:t>
      </w:r>
    </w:p>
    <w:p>
      <w:r>
        <w:t>IT: TF 4A_583/2020 del 19 gennaio 2021</w:t>
      </w:r>
    </w:p>
    <w:p>
      <w:pPr>
        <w:pStyle w:val="Heading2"/>
      </w:pPr>
      <w:r>
        <w:t>Erwägungen</w:t>
      </w:r>
    </w:p>
    <w:p>
      <w:r>
        <w:rPr>
          <w:b/>
        </w:rPr>
        <w:t>E. 1</w:t>
      </w:r>
    </w:p>
    <w:p>
      <w:r>
        <w:t>Das Bundesgericht prüft von Amtes wegen und mit freier Kognition, ob ein Rechtsmittel zulässig ist ( Art. 29 Abs. 1 BGG ; BGE 143 III 140 E. 1 S. 143; 141 III 395 E. 2.1 S. 397).</w:t>
      </w:r>
    </w:p>
    <w:p>
      <w:r>
        <w:rPr>
          <w:b/>
        </w:rPr>
        <w:t>E. 1.1</w:t>
      </w:r>
    </w:p>
    <w:p>
      <w:r>
        <w:t>Angefochten ist ein Schiedsspruch über eine Streitigkeit zwischen Parteien, die im Zeitpunkt des Abschlusses der Schiedsvereinbarung ihren Wohnsitz bzw.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interne Schiedsgerichtsbarkeit gemäss dem 3. Teil der Schweizerischen Zivilprozessordnung ( Art. 353 ff. ZPO ).</w:t>
      </w:r>
    </w:p>
    <w:p>
      <w:r>
        <w:t>Von der durch Art. 390 Abs. 1 ZPO eingeräumten Möglichkeit, als Rechtsmittelinstanz ein kantonales Gericht zu bezeichnen, wurde kein Gebrauch gemacht. Der ergangene Schiedsspruch unterliegt somit der Beschwerde an das Bundesgericht ( Art. 389 Abs. 1 ZPO und Art. 77 Abs. 1 lit. b BGG ).</w:t>
      </w:r>
    </w:p>
    <w:p>
      <w:r>
        <w:rPr>
          <w:b/>
        </w:rPr>
        <w:t>E. 1.2</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Rügepflicht ( BGE 134 III 186 E. 5 S. 187).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ist im Detail aufzuzeigen, warum die angerufenen Beschwerdegründe erfüllt sind, wobei die Kritik an den als rechtsfehlerhaft erachteten Erwägungen des Schiedsgerichts anzusetzen hat (Urteile 4A_35/2020 vom 15. Mai 2020 E. 1.3; 4A_224/2019 vom 11. November 2019 E. 1.2; 4A_338/2018 vom 28. November 2018 E. 1.2).</w:t>
      </w:r>
    </w:p>
    <w:p>
      <w:r>
        <w:rPr>
          <w:b/>
        </w:rPr>
        <w:t>E. 1.3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S. 17 f.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 4A_35/2020 vom 15. Mai 2020 E. 1.4 mit Hinweisen; vgl. auch BGE 140 III 86 E. 2 S. 90 mit Hinweisen).</w:t>
      </w:r>
    </w:p>
    <w:p>
      <w:r>
        <w:rPr>
          <w:b/>
        </w:rPr>
        <w:t>E. 2</w:t>
      </w:r>
    </w:p>
    <w:p>
      <w:r>
        <w:t>Die Beschwerdeführerin wirft dem Einzelschiedsrichter eine willkürliche Sachverhaltsfeststellung vor ( Art. 393 lit. e ZPO ).</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Willkürtatbestandes in Art. 393 lit. e ZPO stimmt mit dem Begriff der Willkür überein, den das Bundesgericht zu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141 III 564 E. 4.1 S. 566; 140 III 16 E. 2.1 S. 18 f. ; 129 I 8 E. 2.1 S. 9).</w:t>
      </w:r>
    </w:p>
    <w:p>
      <w:r>
        <w:t>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4A_35/2020 vom 15. Mai 2020 E. 3.1; 4A_338/2018 vom 28. November 2018 E. 2; 4A_356/2017 vom 3. Januar 2018 E. 3.1).</w:t>
      </w:r>
    </w:p>
    <w:p>
      <w:r>
        <w:rPr>
          <w:b/>
        </w:rPr>
        <w:t>E. 2.2</w:t>
      </w:r>
    </w:p>
    <w:p>
      <w:r>
        <w:t>Die Beschwerdeführerin bringt vor, mit ihrer Kritik an der Sachverhaltsdarstellung des angefochtenen Schiedsspruchs sei nachgewiesen, dass der Einzelschiedsrichter bei seiner Beurteilung "aktenwidrig und willkürlich von einem falschen Typ und Gewicht des unfallverursachenden LKW, einer zu tiefen Geschwindigkeit desselben sowie - wegen Nichtbeachtung der sehr kurzen Bremsspur, des Stillstandes der beiden vorderen Fahrzeuge und der Tatsache, dass der Fahrer des BMW (mittleres Fahrzeug) nicht auf der Bremse stand - von einer zu tiefen Auffahrgeschwindigkeit ausgegangen [sei]." Sie wirft dem Einzelschiedsrichter zwar mitunter Aktenwidrigkeit vor, verkennt mit ihren Ausführungen jedoch die Tragweite von Art. 393 lit. e ZPO , zumal Aktenwidrigkeit im Sinne dieser Bestimmung nur vorliegt, wenn das Schiedsgericht bei der Beweiswürdigung von unrichtigen tatsächlichen Prämissen ausgeht, während das Ergebnis und die Art und Weise der Beweisführung nicht Gegenstand der Willkürrüge sind. Abgesehen davon, dass der Einzelschiedsrichter die Behauptung der Beschwerdeführerin als verspätet erachtete, wonach es sich beim unfallversursachenden Fahrzeug um einen Lastwagen (über 3.5 t Leergewicht) und nicht um einen Kleinlastwagen (unter 3.5 t Leergewicht) gehandelt habe, hat er sich mit dem Einwand in einer Eventualbegründung im Einzelnen auseinandergesetzt und diesen aufgrund einer Würdigung der eingereichten Beweismittel und weiterer Dokumente verworfen. Indem sie sich vor Bundesgericht auf den Standpunkt stellt, die Typenbezeichnung LKW 7C15 sei massgebend für die Klassifizierung des Fahrzeugs, wobei die Ziffer 7 für einen Lastwagen von 7.5 Tonnen stehe, übt sie unzulässige Kritik an der Beweiswürdigung des Einzelschiedsrichters. Ausserdem sind die vor Bundesgericht neu angebotenen Beweismittel in Form der zur Edition beantragten Kopie des Fahrzeugausweises, des Fahrtenschreibers und der Frachtpapiere der entsprechenden Fahrt im Beschwerdeverfahren unzulässig ( Art. 99 Abs. 1 BGG ).</w:t>
      </w:r>
    </w:p>
    <w:p>
      <w:r>
        <w:t>Entgegen den Vorbringen in der Beschwerdeschrift ist daher auf die Sachverhaltsfeststellung im angefochtenen Schiedsentscheid abzustellen, nach der es sich beim unfallverursachenden Fahrzeug um einen "Klein-LKW" handelte. Der weitere Einwand der Beschwerdeführerin, die Unfallanalyse der C.________ sei basierend auf einem viel zu leichten Fahrzeugtyp erfolgt und deshalb wertlos, stösst damit ins Leere. Auch mit ihrer Kritik am medizinischen Gutachten von Prof. Dr. med. D.________ und ihren Ausführungen zur Kopfhaltung im Kollisionszeitpunkt sowie den nach dem Unfallereignis aufgetretenen Beschwerden vermag die Beschwerdeführerin keine Aktenwidrigkeit des Einzelschiedsrichters aufzuzeigen.</w:t>
      </w:r>
    </w:p>
    <w:p>
      <w:r>
        <w:t>Die Rüge der willkürlichen Sachverhaltsfeststellung ist offensichtlich unbegründet.</w:t>
      </w:r>
    </w:p>
    <w:p>
      <w:r>
        <w:rPr>
          <w:b/>
        </w:rPr>
        <w:t>E. 3</w:t>
      </w:r>
    </w:p>
    <w:p>
      <w:r>
        <w:t>Die Beschwerde ist im Verfahren nach Art. 109 Abs. 2 lit. a BGG abzuweisen, soweit darauf eingetreten werden kann.</w:t>
      </w:r>
    </w:p>
    <w:p>
      <w:r>
        <w:t>Dem Ausgang des Verfahrens entsprechend wird die Beschwerdeführerin kostenpflichtig ( Art. 66 Abs. 1 BGG ). Der Beschwerdegegnerin wird keine Parteientschädigung zugesprochen,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