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4A_57/2020 vom 17. Februar 2020</w:t>
      </w:r>
    </w:p>
    <w:p>
      <w:r>
        <w:t>Bundesgericht, 2020-02-17, FR</w:t>
      </w:r>
    </w:p>
    <w:p>
      <w:r>
        <w:rPr>
          <w:b/>
        </w:rPr>
        <w:t xml:space="preserve">Quelle: </w:t>
      </w:r>
      <w:r>
        <w:t>https://mcp.opencaselaw.ch/entscheid/bger_4A_57_2020</w:t>
      </w:r>
    </w:p>
    <w:p>
      <w:r>
        <w:t>FR: TF 4A_57/2020 du 17 février 2020</w:t>
      </w:r>
    </w:p>
    <w:p>
      <w:r>
        <w:t>IT: TF 4A_57/2020 del 17 febbraio 2020</w:t>
      </w:r>
    </w:p>
    <w:p>
      <w:pPr>
        <w:pStyle w:val="Heading2"/>
      </w:pPr>
      <w:r>
        <w:t>Erwägungen</w:t>
      </w:r>
    </w:p>
    <w:p>
      <w:r>
        <w:rPr>
          <w:b/>
        </w:rPr>
        <w:t>E. 1</w:t>
      </w:r>
    </w:p>
    <w:p>
      <w:r>
        <w:t>Le 17 septembre 2016, X.________ a ouvert action contre la société Z.________ SA devant le Tribunal civil de l'arrondissement des Montagnes neuchâteloises et du Val-de-Ruz. Il articulait notamment des conclusions en paiement au total d'environ 39'000 fr. en capital. Il exposait avoir travaillé au service de la défenderesse et il faisait état d'un licenciement qu'il tenait pour abusif.</w:t>
      </w:r>
    </w:p>
    <w:p>
      <w:r>
        <w:t>Le demandeur a obtenu l'assistance judiciaire.</w:t>
      </w:r>
    </w:p>
    <w:p>
      <w:r>
        <w:t>Le tribunal s'est prononcé le 22 août 2019; il a rejeté l'action.</w:t>
      </w:r>
    </w:p>
    <w:p>
      <w:r>
        <w:t>Le demandeur a appelé du jugement et il a sollicité l'assistance judiciaire en appel.</w:t>
      </w:r>
    </w:p>
    <w:p>
      <w:r>
        <w:t>La Cour d'appel civile du Tribunal cantonal a statué le 12 décembre 2019; elle a rejeté la demande d'assistance judiciaire et rejeté l'appel.</w:t>
      </w:r>
    </w:p>
    <w:p>
      <w:r>
        <w:rPr>
          <w:b/>
        </w:rPr>
        <w:t>E. 2</w:t>
      </w:r>
    </w:p>
    <w:p>
      <w:r>
        <w:t>Agissant par la voie du recours en matière civile, le demandeur requiert le Tribunal fédéral d'annuler l'arrêt de la Cour d'appel et de renvoyer la cause à cette autorité pour nouveau prononcé.</w:t>
      </w:r>
    </w:p>
    <w:p>
      <w:r>
        <w:t>Une demande d'assistance judiciaire est jointe au recours.</w:t>
      </w:r>
    </w:p>
    <w:p>
      <w:r>
        <w:rPr>
          <w:b/>
        </w:rPr>
        <w:t>E. 3</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w:t>
      </w:r>
    </w:p>
    <w:p>
      <w:r>
        <w:rPr>
          <w:b/>
        </w:rPr>
        <w:t>E. 3.1</w:t>
      </w:r>
    </w:p>
    <w:p>
      <w:r>
        <w:t>Selon la jurisprudence, les conclusions doivent porter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 demandeur n'explique pas, et le Tribunal fédéral ne discerne pas pourquoi celui-ci ne pourrait pas mettre lui-même fin au litige, en cas de succès du recours, plutôt que renvoyer la cause à la Cour d'appel. Les conclusions du demandeur sont donc lacunaires et la motivation du recours ne remédie pas à cette déficience.</w:t>
      </w:r>
    </w:p>
    <w:p>
      <w:r>
        <w:rPr>
          <w:b/>
        </w:rPr>
        <w:t>E. 3.2</w:t>
      </w:r>
    </w:p>
    <w:p>
      <w:r>
        <w:t>La jurisprudence consacre également quelques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non plus satisfaites dans la mesure où le demandeur critique le refus de l'assistance judiciaire par la Cour d'appel. Cette autorité a exposé de manière détaillée pourquoi elle retient que le demandeur n'est pas dépourvu de ressources suffisantes aux termes de l' art. 117 let. a CPC , et ce plaideur ne tente aucune réfutation de cette partie du jugement.</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