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4A_57/2019 vom 21. Februar 2019</w:t>
      </w:r>
    </w:p>
    <w:p>
      <w:r>
        <w:t>Bundesgericht, 2019-02-21, DE</w:t>
      </w:r>
    </w:p>
    <w:p>
      <w:r>
        <w:rPr>
          <w:b/>
        </w:rPr>
        <w:t xml:space="preserve">Quelle: </w:t>
      </w:r>
      <w:r>
        <w:t>https://mcp.opencaselaw.ch/entscheid/bger_4A_57_2019</w:t>
      </w:r>
    </w:p>
    <w:p>
      <w:r>
        <w:t>FR: TF 4A_57/2019 du 21 février 2019</w:t>
      </w:r>
    </w:p>
    <w:p>
      <w:r>
        <w:t>IT: TF 4A_57/2019 del 21 febbraio 2019</w:t>
      </w:r>
    </w:p>
    <w:p>
      <w:pPr>
        <w:pStyle w:val="Heading2"/>
      </w:pPr>
      <w:r>
        <w:t>Erwägungen</w:t>
      </w:r>
    </w:p>
    <w:p>
      <w:r>
        <w:rPr>
          <w:b/>
        </w:rPr>
        <w:t>E. 1</w:t>
      </w:r>
    </w:p>
    <w:p>
      <w:r>
        <w:t>Mit Beschluss vom 11. Juli 2018 trat das Arbeitsgericht Zürich auf eine Klage von A.________ (Beschwerdeführerin) gegen die Stiftung B.________ (Beschwerdegegnerin) nicht ein, nachdem A.________ den ihr auferlegten Kostenvorschuss auch innert Nachfrist nicht geleistet hatte. Die von A.________ erhobene Berufung wies das Obergericht des Kantons Zürich mit Beschluss und Urteil vom 21. Dezember 2018 ab, soweit es darauf eintrat, unter Bestätigung des angefochtenen Beschlusses. Ferner wies das Obergericht das Gesuch von A.________ um unentgeltliche Rechtspflege für das Berufungsverfahren ab.</w:t>
      </w:r>
    </w:p>
    <w:p>
      <w:r>
        <w:t>A.________ hat mit Eingabe vom 28. Januar 2019 Beschwerde gegen diesen Entscheid des Obergerichts erhoben und um Gewährung der unentgeltlichen Rechtspflege für das bundesgerichtliche Verfahren ersucht. Es wurden keine Vernehmlassungen eingeholt.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Beschwerde verfehlt über weite Strecken die eben dargestellten Begründungsanforderungen, da darin auf die ausführliche Entscheidbegründung der Vorinstanz nicht hinreichend eingegangen wird. Ausserdem weicht die Beschwerdeführerin wiederholt von der Sachverhaltsfestellung im angefochtenen Entscheid ab, ohne aufzuzeigen, inwiefern diese offensichtlich unrichtig sein oder auf einer Rechtsverletzung im Sinne von Art. 95 BGG beruhen soll.</w:t>
      </w:r>
    </w:p>
    <w:p>
      <w:r>
        <w:t>Soweit die Beschwerde eine hinreichende Begründung enthält, erweist sie sich als offensichtlich unbegründet. So ist es insbesondere nicht bundesrechtswidrig, wenn das Obergericht erwog, in der Eingabe der Beschwerdeführerin vom 15. Juli 2018 sei weder ein Gesuch um unentgeltliche Rechtspflege noch ein solches um Wiedererwägung der Entscheide vom 7. September 2017 und vom 4. Juni 2018 gestellt worden. Entgegen der Beschwerdeführerin ist nicht erkennbar, dass ein solches Gesuch im Antrag, "[d]ie Gerichtskosten seien in Folge der Abtretung der Klägerin abzunehmen", enthalten gewesen wäre. Im Übrigen wird auf die Erwägungen im angefochtenen Entscheid verwiesen ( Art. 109 Abs. 3 BGG ).</w:t>
      </w:r>
    </w:p>
    <w:p>
      <w:r>
        <w:rPr>
          <w:b/>
        </w:rPr>
        <w:t>E. 4</w:t>
      </w:r>
    </w:p>
    <w:p>
      <w:r>
        <w:t>Die Beschwerde ist im Verfahren nach Art. 109 Abs. 2 lit. a BGG abzuweisen, soweit auf sie eingetreten werden kann.</w:t>
      </w:r>
    </w:p>
    <w:p>
      <w:r>
        <w:t>Dem Gesuch der Beschwerdeführerin um Gewährung der unentgeltlichen Rechtspflege für das bundesgerichtliche Verfahren kann nicht entsprochen werden, da die Beschwerde aussichtslos ist (siehe Art. 64 Abs. 1 BGG ). Dem Ausgang des Verfahrens entsprechend sind die Gerichtskosten gemäss Art. 66 Abs. 1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