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4A_57/2017 vom 14. Juni 2017</w:t>
      </w:r>
    </w:p>
    <w:p>
      <w:r>
        <w:t>Bundesgericht, 2017-06-14, DE</w:t>
      </w:r>
    </w:p>
    <w:p>
      <w:r>
        <w:rPr>
          <w:b/>
        </w:rPr>
        <w:t xml:space="preserve">Quelle: </w:t>
      </w:r>
      <w:r>
        <w:t>https://mcp.opencaselaw.ch/entscheid/bger_4A_57_2017</w:t>
      </w:r>
    </w:p>
    <w:p>
      <w:r>
        <w:t>FR: TF 4A_57/2017 du 14 juin 2017</w:t>
      </w:r>
    </w:p>
    <w:p>
      <w:r>
        <w:t>IT: TF 4A_57/2017 del 14 giugno 2017</w:t>
      </w:r>
    </w:p>
    <w:p>
      <w:pPr>
        <w:pStyle w:val="Heading2"/>
      </w:pPr>
      <w:r>
        <w:t>Erwägungen</w:t>
      </w:r>
    </w:p>
    <w:p>
      <w:r>
        <w:rPr>
          <w:b/>
        </w:rPr>
        <w:t>E. 1</w:t>
      </w:r>
    </w:p>
    <w:p>
      <w:r>
        <w:t>Das Bundesgericht wendet das Recht von Amtes wegen an ( Art. 106 Abs. 1 BGG ). Es prüft unter Berücksichtigung der allgemeinen Begründungsanforderungen ( Art. 42 Abs. 1 und 2 BGG ) grundsätzlich aber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w:t>
      </w:r>
    </w:p>
    <w:p>
      <w:r>
        <w:rPr>
          <w:b/>
        </w:rPr>
        <w:t>E. 1.1</w:t>
      </w:r>
    </w:p>
    <w:p>
      <w:r>
        <w:t>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S. 116 mit Hinweis).</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Neue Vorbringen sind nur zulässig, soweit erst der angefochtene Entscheid dazu Anlass gibt ( Art. 99 Abs. 1 BGG ), was wiederum näher darzulegen ist ( BGE 134 V 223 E. 2.2.1 S. 226; 133 III 393 E. 3 S. 395).</w:t>
      </w:r>
    </w:p>
    <w:p>
      <w:r>
        <w:rPr>
          <w:b/>
        </w:rPr>
        <w:t>E. 1.3</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rPr>
          <w:b/>
        </w:rPr>
        <w:t>E. 1.4</w:t>
      </w:r>
    </w:p>
    <w:p>
      <w:r>
        <w:t>In der Beschwerde wird die Tragweite der dargelegten Begründungsanforderungen verkannt. Die Beschwerde setzt sich zwar mit dem angefochtenen Entscheid auseinander, indem dieser ab dessen Ziff. 4.5 kommentiert wird. Der Beschwerdeführer beschränkt sich aber weitgehend darauf, den Erwägungen der Vorinstanz seine abweichende Einschätzung entgegenzusetzen, wobei er wie vor einer ersten Instanz argumentiert, auf Beweismittel in den Akten verweist oder ein solches, ohne rechtsgenüglich auf Art. 99 BGG einzugehen, vor Bundesgericht einreicht. Dabei missachtet er die Bindung des Bundesgerichts in tatsächlicher Hinsicht ( Art. 105 BGG ). Insgesamt übt er im Wesentlichen appellatorische Kritik am angefochtenen Entscheid, die den Begründungsanforderungen nicht genügt ( BGE 140 III 264 E. 2.3 S. 266 mit Hinweisen).</w:t>
      </w:r>
    </w:p>
    <w:p>
      <w:r>
        <w:rPr>
          <w:b/>
        </w:rPr>
        <w:t>E. 2</w:t>
      </w:r>
    </w:p>
    <w:p>
      <w:r>
        <w:t>Streitig ist, ob die Beschwerdegegnerin mit der erteilten Auskunft ihre Pflichten gegenüber dem Beschwerdeführer korrekt erfüllt hat.</w:t>
      </w:r>
    </w:p>
    <w:p>
      <w:r>
        <w:rPr>
          <w:b/>
        </w:rPr>
        <w:t>E. 2.1</w:t>
      </w:r>
    </w:p>
    <w:p>
      <w:r>
        <w:t>Die Auskünfte der Beschwerdegegnerin waren im Wesentlichen korrekt. Der Beschwerdeführer anerkennt, dass er die Voraussetzungen für den Erhalt von Arbeitslosenentschädigung unter Beibehaltung der Gesellschaft nicht hätte erfüllen können. Er wirft der Beschwerdegegnerin aber vor, sie hätte ihn auf die Möglichkeiten im Rahmen einer Liquidation der Gesellschaft aufmerksam machen müssen, die auch in dem ihm zugestellten Merkblatt behandelt wurden.</w:t>
      </w:r>
    </w:p>
    <w:p>
      <w:r>
        <w:rPr>
          <w:b/>
        </w:rPr>
        <w:t>E. 2.2</w:t>
      </w:r>
    </w:p>
    <w:p>
      <w:r>
        <w:t>Das Bezirksgericht hat nach den Feststellungen im angefochtenen Entscheid festgehalten, der Beschwerdeführer habe nicht dargetan, dass die Beschwerdegegnerin Anlass zur Annahme gehabt habe, die Liquidation der Gesellschaft stelle eine ernsthaft in Betracht zu ziehende Möglichkeit dar. Die Darstellung des Beschwerdeführers (beziehungsweise seiner Rechtsvertreterin) im späteren Konkursverfahren, er habe die Gesellschaft gewissermassen in Wartestellung gehalten, um sie beim nächsten Aufschwung wieder einsetzen zu können, wobei er zu Beginn des Jahres 2009 die Erwartung gehabt habe, dass ein wirtschaftlicher Aufschwung eintreten könne, spreche vielmehr dafür, dass eine Liquidation für den Beschwerdeführer im März 2009 tatsächlich keine Option dargestellt habe. Die Vorinstanz erkannte, soweit sich der Beschwerdeführer in seiner Berufung mit dieser Erwägung überhaupt hinreichend auseinandersetze, zeige er nicht auf, inwiefern sie unzutreffend sein sollte, und auch nicht, weshalb die Beschwerdegegnerin zum damaligen Zeitpunkt Abweichendes hätte erkennen müssen und welche Beweismittel er dafür angeboten habe.</w:t>
      </w:r>
    </w:p>
    <w:p>
      <w:r>
        <w:rPr>
          <w:b/>
        </w:rPr>
        <w:t>E. 2.3</w:t>
      </w:r>
    </w:p>
    <w:p>
      <w:r>
        <w:t>Die Vorinstanz ging mithin ebenfalls davon aus, eine Liquidation habe für den Beschwerdeführer im März 2009 tatsächlich keine Option dargestellt. Unter dieser Voraussetzung kann der Beschwerdeführer daraus, dass er im März 2009 diesbezüglich keine Informationen erhalten hat, keinen Schadenersatzanspruch für Arbeitslosenentschädigung ableiten, die er bei einer Liquidation der Gesellschaft ab diesem Zeitpunkt allenfalls hätte erhältlich machen können. Dabei spielt keine Rolle, welche Bedeutung die Beschwerdegegnerin seiner Anfrage nach dem Vertrauensprinzip zumessen musste.</w:t>
      </w:r>
    </w:p>
    <w:p>
      <w:r>
        <w:rPr>
          <w:b/>
        </w:rPr>
        <w:t>E. 2.4</w:t>
      </w:r>
    </w:p>
    <w:p>
      <w:r>
        <w:t>Es genügt daher nicht, dass der Beschwerdeführer darlegt, inwiefern er sich im Berufungsverfahren mit der Feststellung des Bezirksgerichts auseinandergesetzt hat, sondern er müsste zudem aufzeigen, dass es angesichts der in der Berufung vorgebrachten Beanstandungen offensichtlich unhaltbar und damit willkürlich war, an der Feststellung des Bezirksgerichts festzuhalten. Dies gelingt ihm nicht:</w:t>
      </w:r>
    </w:p>
    <w:p>
      <w:r>
        <w:rPr>
          <w:b/>
        </w:rPr>
        <w:t>E. 2.4.1</w:t>
      </w:r>
    </w:p>
    <w:p>
      <w:r>
        <w:t>Das Bezirksgericht hat einerseits auf die Ausführungen der Rechtsvertreterin des Beschwerdeführers im Konkursverfahren abgestellt, wonach die Gesellschaft in Wartestellung gehalten wurde, um sie beim nächsten Aufschwung wieder einzusetzen, und andererseits auf die Erwartung des Beschwerdeführers, zu Beginn des Jahres 2009 könnte ein wirtschaftlicher Aufschwung eintreten. In der Klage habe der Beschwerdeführer vorgebracht, es sei gerichtsnotorisch bzw. könne als bekannt angenommen werden, dass sich der Markt nur sehr zögerlich erhole. Wenn der Kläger zu Beginn des Jahres 2009 noch zuversichtlicher Erwartung war, erachtete es das Bezirksgericht nicht als glaubwürdig, dass er diese Erwartung bereits Anfang März 2009 nicht mehr gehabt haben sollte, wenn sich der Markt nach seiner eigenen Auffassung nur sehr zögerlich erhole. Wenn die Vorinstanz diese Beweiswürdigung nicht beanstandet, dann ist das nicht offensichtlich unhaltbar. Rechnete der Beschwerdeführer nur mit einer zögerlichen Erholung des Marktes, ist es nicht willkürlich anzunehmen, der Entscheid, die Gesellschaft in Wartestellung zu halten, sei auf lange Frist angelegt gewesen.</w:t>
      </w:r>
    </w:p>
    <w:p>
      <w:r>
        <w:t>Was der Beschwerdeführer diesbezüglich aus der Behauptung, er habe sich ab September 2008 anstelle eines Lohnes von Fr. 10'000.-- nur noch Fr. 2'000.-- auszahlen lassen, ableiten zu können glaubt, bleibt unklar. Wenn die Reduktion der Auszahlungen ab September 2008 nichts daran geändert hat, dass er die Gesellschaft Anfang 2009 weiter in Wartestellung halten wollte, ist nicht nachvollziehbar, weshalb sich daraus etwas für den März 2009 ableiten lassen sollte.</w:t>
      </w:r>
    </w:p>
    <w:p>
      <w:r>
        <w:rPr>
          <w:b/>
        </w:rPr>
        <w:t>E. 2.4.2</w:t>
      </w:r>
    </w:p>
    <w:p>
      <w:r>
        <w:t>Ebenfalls nicht zu beanstanden ist, wenn die Vorinstanz die Behauptung, der Beschwerdeführer habe seinen Willen kundgetan, einen neuen Weg einzuschlagen, um seinen Lebensunterhalt zu finanzieren, nicht genügen lässt, sondern aus dem ebenfalls in der Klage behaupteten Wunsch des Beschwerdeführers, weiterhin unabhängig zu bleiben und Gewinn/Einkommen zu generieren, schliesst, die Beschwerdegegnerin habe nicht davon ausgehen müssen, die Auflösung der Gesellschaft sei eine Option gewesen. Selbst wenn man mit dem Beschwerdeführer davon ausgehen wollte, die Aussage, unabhängig zu bleiben und Gewinn/Einkommen zu erlangen, könne auch dahingehend verstanden werden, der Beschwerdeführer habe nach einem Ersatzeinkommen Ausschau gehalten (diese Interpretation erscheint in jedem Fall zu weit, da sie jegliches Ersatzeinkommen umfassen würde, der Beschwerdeführer aber ausdrücklich unabhängig bleiben wollte), weist die Formulierung "weiterhin" darauf hin, dass er ein Ersatzeinkommen im bisherigen Rahmen suchte. Von Willkür in tatsächlicher Hinsicht oder einer Rechtsverletzung kann keine Rede sein. Auch die Behauptung, der Beschwerdeführer habe auf eine ihm zugestellte Kostenvorschussrechnung vom 28. Juli 2009 "close GmbH" geschrieben, genügt, selbst wenn sie zutreffen sollte, nicht, um die Beweiswürdigung der kantonalen Instanzen, die sich auf den März 2009 bezieht, als offensichtlich unhaltbar auszuweisen.</w:t>
      </w:r>
    </w:p>
    <w:p>
      <w:r>
        <w:rPr>
          <w:b/>
        </w:rPr>
        <w:t>E. 2.4.3</w:t>
      </w:r>
    </w:p>
    <w:p>
      <w:r>
        <w:t>Insgesamt übt der Beschwerdeführer appellatorische Kritik am angefochtenen Entscheid, indem er einfach die von ihm behaupteten Umstände in seinem Sinne interpretiert und die davon abweichende Meinung der Vorinstanz als willkürlich bezeichnet. Er zeigt damit nicht rechtsgenüglich auf, dass zwingend geschlossen werden müsste, eine Liquidation der Gesellschaft wäre für den Beschwerdeführer im massgebenden Zeitpunkt tatsächlich in Betracht gekommen.</w:t>
      </w:r>
    </w:p>
    <w:p>
      <w:r>
        <w:rPr>
          <w:b/>
        </w:rPr>
        <w:t>E. 3</w:t>
      </w:r>
    </w:p>
    <w:p>
      <w:r>
        <w:t>Damit ist die Beschwerde insgesamt abzuweisen, soweit angesichts der ungenügenden Begründung darauf eingetreten werden kann. Dem Ausgang des Verfahrens entsprechend wird der Beschwerdeführer kostenpflichtig. Da keine Beschwerdeantwort eingeholt wurde, ist der Beschwerdegegnerin kein zu entschädigender Aufwand entstanden. Eine Entschädigung für das Sicherstellungsbegehren k ann sie nicht beanspruchen. Zwar wird dieses gegenstandslos, soweit der sicherzustellende Aufwand bereits entstanden ist ( BGE 118 II 87 E. 2 S. 88; 79 II 295 E.3 S. 305; Urteil des Bundesgerichts 2C_978/2012 vom 4. Mai 2013 E. 7, nicht publ. in: BGE 139 II 233 ). Es ist aber nicht nötig, ein Sicherstellungsgesuch zu stellen, bevor überhaupt entschädigungswürdiger Aufwand anfallen kann. Durch das Sicherstellungsgesuch wird der Lauf der Antwortfrist unterbrochen. Die Vernehmlassungsfrist wird zurückgenommen. Wird das Begehren abgewiesen oder die Sicherheit geleistet, wird eine neue Frist angesetzt (vgl. Art. 28 Abs. 2 BZP [SR 273]). Indem die Beschwerdegegnerin die Sicherstellung ihrer Parteikosten verlangt hat, bevor sie zu einer Vernehmlassung eingeladen wurde, hat sie mithin unnötigen Aufwand betrieben, für den sie keine Parteientschädigung beanspruchen kann (Art. 66 Abs. 3 i.V.m. Art. 68 Abs. 4 BGG ). Damit wird das Gesuch um Sicherstellung der Parteikosten und Sistierung des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