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4A_57/2008 vom 23. September 2008</w:t>
      </w:r>
    </w:p>
    <w:p>
      <w:r>
        <w:t>Bundesgericht, 2008-09-23, DE</w:t>
      </w:r>
    </w:p>
    <w:p>
      <w:r>
        <w:rPr>
          <w:b/>
        </w:rPr>
        <w:t xml:space="preserve">Quelle: </w:t>
      </w:r>
      <w:r>
        <w:t>https://mcp.opencaselaw.ch/entscheid/bger_4A_57_2008</w:t>
      </w:r>
    </w:p>
    <w:p>
      <w:r>
        <w:t>FR: TF 4A_57/2008 du 23 septembre 2008</w:t>
      </w:r>
    </w:p>
    <w:p>
      <w:r>
        <w:t>IT: TF 4A_57/2008 del 23 settembre 2008</w:t>
      </w:r>
    </w:p>
    <w:p>
      <w:pPr>
        <w:pStyle w:val="Heading2"/>
      </w:pPr>
      <w:r>
        <w:t>Erwägungen</w:t>
      </w:r>
    </w:p>
    <w:p>
      <w:r>
        <w:rPr>
          <w:b/>
        </w:rPr>
        <w:t>E. 1.1</w:t>
      </w:r>
    </w:p>
    <w:p>
      <w:r>
        <w:t>Angefochten ist ein kantonal letztinstanzlicher Endentscheid ( Art. 72 Abs. 1, Art. 75 Abs. 1 und Art. 90 BGG ). Beim Streit um die Anfechtung von freiwilligen Versteigerungen handelt es sich um eine vermögensrechtliche Zivilrechtsstreitigkeit, welche der Beschwerde in Zivilsachen unterliegt, wenn der Streitwert wenigstens Fr. 30'000.-- beträgt ( Art. 74 Abs. 1 lit. b BGG ). Da die Klage vorliegend nicht auf Bezahlung einer bestimmten Geldsumme geht, setzt das Bundesgericht den Streitwert nach Ermessen fest ( Art. 51 Abs. 2 BGG ). Das Kantonsgerichts schätzte den Streitwert auf Fr. 1 Mio, wobei es auf die Differenz des tatsächlichen zum möglichen höheren Zuschlagspreis bei einer Wiederholung der Versteigerung abstellte. Der Beschwerdeführer vertritt den Standpunkt, da diese Differenz nicht feststellbar und von ihm nicht konkret behauptet worden sei, komme für die Bemessung des Streitwerts am ehesten der Baranzahlungsbetrag von Fr. 20'000.-- in Betracht, welcher den Kosten für die Wiederholung der Versteigerung entspreche. Demnach sei von einem Streitwert von rund Fr. 20'000.--, eventualiter Fr. 30'000.-- auszugehen.</w:t>
      </w:r>
    </w:p>
    <w:p>
      <w:r>
        <w:rPr>
          <w:b/>
        </w:rPr>
        <w:t>E. 1.2</w:t>
      </w:r>
    </w:p>
    <w:p>
      <w:r>
        <w:t>Dieser Argumentation kann nicht gefolgt werden. Der Streitwert entspricht dem Interesse der Parteien an der verlangten erneuten Versteigerung bzw. an deren Vermeidung. Dabei sind nicht nur die Kosten der Wiederholung der Versteigerung, sondern auch ein möglicher Mehr- oder Mindererlös bei einer zweiten Versteigerung und allfällige Schadenersatzansprüche des bisherigen Erwerbers zu berücksichtigen. Die von der Vorinstanz auf Fr. 1'000'000.-- vorgenommene Streitwertschätzung ist daher nicht zu beanstanden. Der erforderliche Streitwert von Fr. 30'000.-- ist damit klar erreicht.</w:t>
      </w:r>
    </w:p>
    <w:p>
      <w:r>
        <w:rPr>
          <w:b/>
        </w:rPr>
        <w:t>E. 2.1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grundsätzlich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132 III 186 E. 1.2; 130 III 136 E. 1.2; 125 III 412 E. 1b S. 414).</w:t>
      </w:r>
    </w:p>
    <w:p>
      <w:r>
        <w:rPr>
          <w:b/>
        </w:rPr>
        <w:t>E. 2.2</w:t>
      </w:r>
    </w:p>
    <w:p>
      <w:r>
        <w:t>Seinen Rückweisungsantrag begründet der Beschwerdeführer damit, dass ihm und den Beschwerdegegnern bei einem Entscheid in der Sache eine kantonale Instanz mit voller Kognition verwehrt bleibe.</w:t>
      </w:r>
    </w:p>
    <w:p>
      <w:r>
        <w:t>Der Beschwerdeführer selbst anerkennt freilich, dass der angefochtene Entscheid inhaltlich einer Klageabweisung gleichkommt, da die Vorinstanz den geltend gemachten Anspruch bestandesmässig beurteilt hat und damit nach seinem Gehalt ein Sachurteil vorliegt. Daran vermag nichts zu ändern, dass die Vorinstanz im Dispositiv auf die kantonale Berufung "im Sinne der Erwägungen" nicht eintrat, anstatt sie abzuweisen ( BGE 115 II 187 E. 3b; bestätigt in: Urteil 4C.82/2006 vom 27. Juni 2006 E. 3.3). Nach dem Gesagten hat die Vorinstanz materiell entschieden, weshalb dem Beschwerdeführer bei einem direkten Entscheid durch das Bundesgericht der Instanzenzug nicht verkürzt würde.</w:t>
      </w:r>
    </w:p>
    <w:p>
      <w:r>
        <w:t>Dass dem Bundesgericht zum Entscheid in der Sache erforderliche Sachverhaltsfeststellungen fehlen, legt der Beschwerdeführer nicht dar und ist auch nicht ersichtlich, zumal er selber ausführt, der Sachverhalt sei an sich weitgehend unbestritten. Damit sind die Voraussetzungen für die Zulässigkeit eines blossen Rückweisungsantrags nicht gegeben, weshalb auf die Beschwerde mangels eines genügenden Antrags nicht einzutreten ist.</w:t>
      </w:r>
    </w:p>
    <w:p>
      <w:r>
        <w:rPr>
          <w:b/>
        </w:rPr>
        <w:t>E. 2.3</w:t>
      </w:r>
    </w:p>
    <w:p>
      <w:r>
        <w:t>Im Übrigen wäre die Beschwerde unbegründet. Darin macht der Beschwerdeführer geltend, er habe sein erst am Tag der Versteigerung gestelltes Gesuch um deren Verschiebung wieder zurückgezogen, nachdem ihm das Bezirksgericht mitgeteilt hatte, dass eine kurzfristige Verschiebung nicht mehr möglich sei. Danach hat er an der Versteigerung als am Kauf der Liegenschaft interessierter Bieter teilgenommen (vgl. BB 8) und sich damit in Kenntnis der bloss mündlichen Bekanntgabe der gültigen Steigerungsbedingungen auf das Verfahren eingelassen. Unter diesen Umständen stellt seine nachträgliche Berufung auf die fehlende schriftliche Publikation der Anpassung der Steigerungsbedingungen ein widersprüchliches Verhalten und einen Verstoss gegen Treu und Glauben dar. Das Kantonsgericht hat damit kein Bundesrecht verletzt, wenn es annahm, der Beschwerdeführer habe sein Klagerecht verwirkt, zumal Verfahrensmängel nach Treu und Glauben so früh wie möglich geltend zu machen sind (vgl. BGE 125 V 373 E. 2b; 132 II 485 E. 4.3 S. 496 f. ; 134 I 20 E. 4.3.1).</w:t>
      </w:r>
    </w:p>
    <w:p>
      <w:r>
        <w:rPr>
          <w:b/>
        </w:rPr>
        <w:t>E. 3</w:t>
      </w:r>
    </w:p>
    <w:p>
      <w:r>
        <w:t>Nach dem Gesagten ist auf die Beschwerde nicht einzutreten. Bei diesem Ausgang des Verfahrens wird der Beschwerdeführer für das bundesgerichtliche Verfahren kostenpflichtig ( Art. 66 Abs. 1 BGG ). Bei der Festsetzung der Gerichtskosten wird berücksichtigt, dass der Aufwand relativ gering ausgefallen ist ( Art. 65 Abs. 2 BGG ). Der Beschwerdeführer hat zudem die anwaltlich vertretenen Beschwerdegegner zu entschädigen ( Art. 68 Abs. 2 BGG ). Da der Beschwerdegegner 6 nicht anwaltlich vertreten ist und sich in der Sache nicht vernehmen liess,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