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578/2021 vom 26. November 2021</w:t>
      </w:r>
    </w:p>
    <w:p>
      <w:r>
        <w:t>Bundesgericht, 2021-11-26, FR</w:t>
      </w:r>
    </w:p>
    <w:p>
      <w:r>
        <w:rPr>
          <w:b/>
        </w:rPr>
        <w:t xml:space="preserve">Quelle: </w:t>
      </w:r>
      <w:r>
        <w:t>https://mcp.opencaselaw.ch/entscheid/bger_4A_578_2021</w:t>
      </w:r>
    </w:p>
    <w:p>
      <w:r>
        <w:t>FR: TF 4A 578/2021 du 26 novembre 2021</w:t>
      </w:r>
    </w:p>
    <w:p>
      <w:r>
        <w:t>IT: TF 4A 578/2021 del 26 novembre 2021</w:t>
      </w:r>
    </w:p>
    <w:p>
      <w:pPr>
        <w:pStyle w:val="Heading2"/>
      </w:pPr>
      <w:r>
        <w:t>Regeste</w:t>
      </w:r>
    </w:p>
    <w:p>
      <w:r>
        <w:t>contrat de bail à loyer; expulsion du locataire, | Droit des contrats</w:t>
      </w:r>
    </w:p>
    <w:p>
      <w:pPr>
        <w:pStyle w:val="Heading2"/>
      </w:pPr>
      <w:r>
        <w:t>Erwägungen</w:t>
      </w:r>
    </w:p>
    <w:p>
      <w:r>
        <w:rPr>
          <w:b/>
        </w:rPr>
        <w:t>E. 1.1</w:t>
      </w:r>
    </w:p>
    <w:p>
      <w:r>
        <w:t>Le recours est dirigé contre une décision finale ( art. 90 LTF ) rendue en matière civile ( art. 72 al. 1 LTF ) par le tribunal supérieur du canton ( art. 75 LTF ). La cause atteint la valeur litigieuse de 15'000 fr. ouvrant le recours en matière civile dans les affaires relevant du droit du bail ( art. 74 al. 1 let. a LTF ). La recourante, qui a succombé devant la cour cantonale, a qualité pour recourir ( art. 76 al. 1 LTF ). Le recours a en outre été déposé en temps utile ( art. 100 al. 1 LTF ). La voie du recours en matière civile étant ouverte en raison d'une valeur litigieuse suffisante, le recours constitutionnel subsidiaire est irrecevable ( art. 113 LTF ).</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3.1).</w:t>
      </w:r>
    </w:p>
    <w:p>
      <w:r>
        <w:rPr>
          <w:b/>
        </w:rPr>
        <w:t>E. 1.3</w:t>
      </w:r>
    </w:p>
    <w:p>
      <w:r>
        <w:t>En l'espèce, la recourante se limite à conclure à l'annulation de l'arrêt attaqué, et à ce que " tout tiers " soit débouté de toute autre ou contraire conclusion. La conclusion tendant au déboutement de " tout tiers " apparaît comme une simple formule et ne semble pas viser la requête déposée par l'intimée en première instance. Par ailleurs, lorsque, dans sa conclusion subsidiaire, la recourante sollicite le renvoi de la cause à la cour cantonale, elle n'explique pas pourquoi le Tribunal fédéral ne serait pas à même de trancher l'affaire, au cas où les griefs de la recourante se révéleraient bien fondés. Cependant, déclarer le recours irrecevable faute de conclusions réformatoires valablement formulées pourrait relever du formalisme excessif, dans la mesure où l'on comprend, à la lecture du mémoire de recours, que l'intéressée conclut à la réforme de l'arrêt attaqué en ce sens que les conclusions prises par l'intimée en première instance doivent être déclarées irrecevables. La question d'un éventuel formalisme excessif n'a toutefois pas à être approfondie car, de toute manière, le recours doit être rejeté pour les motifs suivants.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ainsi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rPr>
          <w:b/>
        </w:rPr>
        <w:t>E. 2.2</w:t>
      </w:r>
    </w:p>
    <w:p>
      <w:r>
        <w:t>Le recours peut être formé pour violation du droit fédéral ( art. 95 let. a LTF ). Le Tribunal fédéral n'examine la violation de droits fondamentaux que si le grief correspondant a été invoqué et motivé par la partie recourante conformément au principe de l'allégation ( art. 106 al. 2 LTF ; ATF 139 I 229 consid. 2.2; 134 II 244 consid. 2.2).</w:t>
      </w:r>
    </w:p>
    <w:p>
      <w:r>
        <w:rPr>
          <w:b/>
        </w:rPr>
        <w:t>E. 3</w:t>
      </w:r>
    </w:p>
    <w:p>
      <w:r>
        <w:t>Tout d'abord, la recourante dénonce un " formalisme excessif ". Elle allègue qu'il ressort de la procédure que l'intimée a bien reçu le paiement des loyers faisant l'objet de l'avis comminatoire, mais que sur le décompte que cette dernière avait présenté, seule la date de comptabilisation avait été retenue et non la date à laquelle le versement avait effectivement été reçu.</w:t>
      </w:r>
    </w:p>
    <w:p>
      <w:r>
        <w:rPr>
          <w:b/>
        </w:rPr>
        <w:t>E. 3.1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w:t>
      </w:r>
    </w:p>
    <w:p>
      <w:r>
        <w:rPr>
          <w:b/>
        </w:rPr>
        <w:t>E. 3.2</w:t>
      </w:r>
    </w:p>
    <w:p>
      <w:r>
        <w:t>La cour cantonale a retenu que les loyers faisant l'objet de l'avis comminatoire du 14 janvier 2021 avaient été réglés le 21 avril 2021 seulement, et n'avaient donc pas été versés dans le délai imparti.</w:t>
      </w:r>
    </w:p>
    <w:p>
      <w:r>
        <w:rPr>
          <w:b/>
        </w:rPr>
        <w:t>E. 3.3</w:t>
      </w:r>
    </w:p>
    <w:p>
      <w:r>
        <w:t>La recourante ne détaille pas en quoi elle discernerait un formalisme excessif dans les considérations de la cour cantonale. On doit au contraire comprendre de son argumentation qu'elle conteste la date du 21 avril 2021 retenue par la cour cantonale s'agissant du moment auquel les loyers ont été réglés. En cela, la recourante critique une constatation de fait, qui ne peut être corrigée par le Tribunal fédéral que si elle se révèle arbitraire ( art. 9 Cst. ). Encore faut-il que la recourante présente à ce sujet une argumentation précise ( art. 106 al. 2 LTF ). Or, l'intéressée se contente d'une simple affirmation, sans même mentionner à quelle date elle aurait versé les loyers litigieux. Elle n'invoque, ni a fortiori ne démontre, le moindre arbitraire dans la constatation de la cour cantonale.</w:t>
      </w:r>
    </w:p>
    <w:p>
      <w:r>
        <w:rPr>
          <w:b/>
        </w:rPr>
        <w:t>E. 4</w:t>
      </w:r>
    </w:p>
    <w:p>
      <w:r>
        <w:t>Ensuite, la recourante reproche aux juges cantonaux d'avoir apprécié les preuves de manière arbitraire en faisant fi des versements intervenus et en la condamnant au paiement d'un arriéré de loyers.</w:t>
      </w:r>
    </w:p>
    <w:p>
      <w:r>
        <w:rPr>
          <w:b/>
        </w:rPr>
        <w:t>E. 4.1</w:t>
      </w:r>
    </w:p>
    <w:p>
      <w:r>
        <w:t>La cour cantonale a relevé que dans la mesure où la locataire n'avait remis en cause ni l'existence, ni la quotité du montant des arriérés réclamés par la bailleresse devant le tribunal, soit 3'121 fr. 90 avec intérêts, ce dernier était fondé à la condamner au versement de cette somme.</w:t>
      </w:r>
    </w:p>
    <w:p>
      <w:r>
        <w:rPr>
          <w:b/>
        </w:rPr>
        <w:t>E. 4.2</w:t>
      </w:r>
    </w:p>
    <w:p>
      <w:r>
        <w:t>La recourante semble désormais alléguer que ce montant aurait été intégralement réglé. Or, elle n'a pas formulé ce moyen de fait devant la cour cantonale, alors qu'il lui appartenait de le faire en vertu du principe de l'épuisement des griefs ( ATF 143 III 290 consid. 1.1 et les références citées). Ainsi, cette critique est irrecevable.</w:t>
      </w:r>
    </w:p>
    <w:p>
      <w:r>
        <w:rPr>
          <w:b/>
        </w:rPr>
        <w:t>E. 5</w:t>
      </w:r>
    </w:p>
    <w:p>
      <w:r>
        <w:t>En dernier lieu, la recourante se prévaut d'une violation de l'interdiction de l'arbitraire ( art. 9 Cst. ). Elle soutient que l'arrêt attaqué est insoutenable tant dans ses motifs que dans son résultat, puisqu'il confirme le jugement de première instance sans lui accorder " un délai supplémentaire ". Cela revenait à expulser une femme et ses enfants, alors même qu'elle avait pris les mesures adéquates afin d'éviter ces conséquences. L'arrêt attaqué était insoutenable compte tenu des éléments au dossier et des constatations de la cour cantonale.</w:t>
      </w:r>
    </w:p>
    <w:p>
      <w:r>
        <w:rPr>
          <w:b/>
        </w:rPr>
        <w:t>E. 5.1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la décision attaquée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Il ne suffit d'ailleurs pas non plus qu'une solution différente de celle retenue par l'autorité cantonale puisse être tenue pour également concevable ou apparaisse même préférable ( ATF 144 I 170 consid. 7.3; 142 II 369 consid. 4.3; 140 III 16 consid. 2.1).</w:t>
      </w:r>
    </w:p>
    <w:p>
      <w:r>
        <w:rPr>
          <w:b/>
        </w:rPr>
        <w:t>E. 5.2</w:t>
      </w:r>
    </w:p>
    <w:p>
      <w:r>
        <w:t>La recourante n'explique pas précisément en quoi les motifs de l'arrêt attaqué seraient insoutenables. Les arguments qu'elle a soulevés précédemment ne lui sont d'aucune utilité, au vu du sort qui leur a été réservé (cf. consid. 3 et 4 supra ). Ainsi, les quelques lignes que consacre la recourante à cette critique ne permettent nullement de démontrer en quoi la cour cantonale aurait fait preuve d'arbitraire dans ses motifs. Pour cette raison déjà, ce grief doit être rejeté, pour autant qu'il soit recevable.</w:t>
      </w:r>
    </w:p>
    <w:p>
      <w:r>
        <w:rPr>
          <w:b/>
        </w:rPr>
        <w:t>E. 6</w:t>
      </w:r>
    </w:p>
    <w:p>
      <w:r>
        <w:t>En définitive, le recours constitutionnel subsidiaire est irrecevable. Le recours en matière civile, quant à lui, est manifestement mal fondé aux termes de l' art. 109 al. 2 let. a LTF et doit être rejeté, dans la faible mesure de sa recevabilité. Le recours étant manifestement dépourvu de chances de succès, l'une des conditions pour l'octroi de l'assistance judiciaire, à tout le moins, n'est pas remplie ( art. 64 al. 1 LTF ). Il convient ainsi de rejeter la demande en ce sens de la recourante. Celle-ci devra donc supporter les frais judiciaires ( art. 66 al. 1 LTF ). En revanche, elle n'aura pas à indemniser l'intimée, cette dernière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