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578/2020 vom 25. Januar 2021</w:t>
      </w:r>
    </w:p>
    <w:p>
      <w:r>
        <w:t>Bundesgericht, 2021-01-25, FR</w:t>
      </w:r>
    </w:p>
    <w:p>
      <w:r>
        <w:rPr>
          <w:b/>
        </w:rPr>
        <w:t xml:space="preserve">Quelle: </w:t>
      </w:r>
      <w:r>
        <w:t>https://mcp.opencaselaw.ch/entscheid/bger_4A_578_2020</w:t>
      </w:r>
    </w:p>
    <w:p>
      <w:r>
        <w:t>FR: TF 4A 578/2020 du 25 janvier 2021</w:t>
      </w:r>
    </w:p>
    <w:p>
      <w:r>
        <w:t>IT: TF 4A 578/2020 del 25 gennaio 2021</w:t>
      </w:r>
    </w:p>
    <w:p>
      <w:pPr>
        <w:pStyle w:val="Heading2"/>
      </w:pPr>
      <w:r>
        <w:t>Regeste</w:t>
      </w:r>
    </w:p>
    <w:p>
      <w:r>
        <w:t>complément d'expertise; récusation de l'expert | Droit des contrats</w:t>
      </w:r>
    </w:p>
    <w:p>
      <w:pPr>
        <w:pStyle w:val="Heading2"/>
      </w:pPr>
      <w:r>
        <w:t>Erwägungen</w:t>
      </w:r>
    </w:p>
    <w:p>
      <w:r>
        <w:rPr>
          <w:b/>
        </w:rPr>
        <w:t>E. 1</w:t>
      </w:r>
    </w:p>
    <w:p>
      <w:r>
        <w:t>Le Tribunal fédéral examine d'office ( art. 29 al. 1 LTF ) et librement la recevabilité des recours qui lui sont soumis ( ATF 145 I 239 consid. 2). Le recours porte sur la mise en oeuvre d'un complément d'expertise auprès de C.________. Il convient d'analyser la recevabilité du recours sous deux angles différents.</w:t>
      </w:r>
    </w:p>
    <w:p>
      <w:r>
        <w:rPr>
          <w:b/>
        </w:rPr>
        <w:t>E. 2.1</w:t>
      </w:r>
    </w:p>
    <w:p>
      <w:r>
        <w:t>Tout d'abord, l'ordonnance de preuves n'a pas terminé l'instance introduite devant la Chambre patrimoniale cantonale; ce prononcé est au contraire incident. L'arrêt de l'autorité précédente statue sur un recours dirigé contre une décision incidente, de sorte qu'il revêt lui aussi le caractère d'une décision incidente selon l' art. 93 al. 1 LTF ( ATF 142 III 653 consid. 1.1). L' art. 93 al. 1 let. a LTF autorise le recours immédiat contre une décision incidente susceptible de causer un préjudice irréparable. Un préjudice de ce genre n'est réalisé que s'il cause un inconvénient de nature juridique; tel est le cas lorsqu'une décision finale favorable à la partie recourante ne ferait pas disparaître entièrement le préjudice. En revanche, un dommage économique ou de pur fait, tel que l' accroissement de la durée et des frais de la procédure, n'est pas considéré comme un préjudice irréparable de ce point de vue ( ATF 144 III 475 consid. 1.2; 142 III 798 consid. 2.2). Cette condition s'apprécie par rapport aux effets de la décision incidente sur la procédure principale ( ATF 141 III 80 consid. 1.2; 137 III 380 consid. 1.2.2). En particulier, si la question qui a fait l'objet de la décision incidente de première instance peut être soulevée à l'appui d'un recours contre la décision finale, il n'y a pas de préjudice irréparable ( ATF 141 III 80 consid. 1.2; 134 III 426 consid. 1.3.1). Tel est en principe le cas des décisions sur l'administration des preuves dans le procès principal, puisqu'il est normalement possible, en recourant contre la décision finale, d'obtenir l'administration de la preuve refusée à tort ou d'obtenir que la preuve administrée à tort soit écartée du dossier ( ATF 141 III 80 consid. 1.2).</w:t>
      </w:r>
    </w:p>
    <w:p>
      <w:r>
        <w:rPr>
          <w:b/>
        </w:rPr>
        <w:t>E. 2.2</w:t>
      </w:r>
    </w:p>
    <w:p>
      <w:r>
        <w:t>En l'espèce, la recourante fait valoir que l'ordonnance de preuves lui cause un préjudice irréparable de nature juridique. Elle soutient que celle-ci la place devant le choix de devoir payer une avance de frais pour un complément d'expertise confié à un expert qu'elle a déjà ouvertement critiqué par le passé ou de renoncer à effectuer cette avance et de perdre un moyen de preuve fondamental pour le procès. Elle invoque une entrave à son droit d'être entendue et à ses droits procéduraux. Elle se fonde encore sur les principes de célérité et d'économie de la procédure. L'inconvénient financier soulevé par la recourante, soit de devoir verser une avance de frais pour la mise en oeuvre d'un complément d'expertise auprès d'un expert ne lui convenant pas, ne constitue pas un préjudice irréparable de nature juridique (cf. consid. 2.1 supra ). Par ailleurs, la recourante ne prétend pas qu'elle n'est pas en mesure de payer cette avance. La mise à sa charge d'une grande partie de l'avance de frais ne peut être considérée comme une entrave à ses droits procéduraux ou à son droit d'être entendue. Pour le surplus, la recourante pourra, le cas échéant, critiquer ce complément d'expertise dans la procédure au fond qui suivra, voire également dans le cadre d'un appel contre la décision finale qui sera rendue. L'existence d'un préjudice irréparable n'est donc pas donnée. Il convient encore de relever que le premier juge a laissé ouverte la question de la mise en oeuvre d'une nouvelle expertise ou d'une surexpertise après le dépôt du rapport complémentaire de C.________. Il résulterait certes d'une telle mesure d'instruction un allongement de la procédure et un accroissement des frais, mais cela n'est pas suffisant pour retenir un préjudice irréparable. Ainsi, les arguments de la recourante liés aux principes de célérité et d'économie de la procédure ne sont pas pertinents. Faute d'un préjudice irréparable, le recours est irrecevable en tant qu'il ne porte pas sur la récusation de l'expert (cf. consid. 2.3 infra ).</w:t>
      </w:r>
    </w:p>
    <w:p>
      <w:r>
        <w:rPr>
          <w:b/>
        </w:rPr>
        <w:t>E. 2.3</w:t>
      </w:r>
    </w:p>
    <w:p>
      <w:r>
        <w:t>Par ses conclusions subsidiaires, la recourante demande la récusation de l'expert. Cette question a été tranchée par l'arrêt attaqué (cf. p. 11), de sorte que celle-ci peut faire l'objet d'un recours immédiat devant le Tribunal fédéral en application de l' art. 92 LTF (arrêt 4A_352/2017 du 31 janvier 2018 consid. 1; arrêt 5A_819/2009 du 28 juillet 2010 consid. 1.3 en lien avec l'arrêt 5A_435/2010 du 28 juillet 2010 consid. 1.2). Pour le surplus, les conditions de recevabilité du recours en matière civile sont réalisées, notamment celles afférentes à la valeur litigieuse minimale de 30'000 fr. ( art. 74 al. 1 let. b LTF ) et au délai de recours ( art. 45 al. 1 et art. 100 al. 1 LTF ).</w:t>
      </w:r>
    </w:p>
    <w:p>
      <w:r>
        <w:rPr>
          <w:b/>
        </w:rPr>
        <w:t>E. 3</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 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rPr>
          <w:b/>
        </w:rPr>
        <w:t>E. 4</w:t>
      </w:r>
    </w:p>
    <w:p>
      <w:r>
        <w:t>Tout d'abord, la recourante soutient que les juges précédents ont établi les faits de manière arbitraire, dans la mesure où ils ont omis de tenir compte d'allégués dans lesquels elle avait détaillé des éléments permettant de considérer que le travail de l'expert était, en particulier, partial. Ce moyen est infondé. Les faits établis par l'autorité cantonale ne sauraient être qualifiés d'arbitraires, dès lors qu'ils n'ont pas à restituer l'ensemble des critiques formulées par la recourante à l'égard de l'expert. En outre, le complètement de l'état de fait demandé ne serait pas susceptible d'influencer le sort de la cause (cf. en particulier, consid. 6 infra ).</w:t>
      </w:r>
    </w:p>
    <w:p>
      <w:r>
        <w:rPr>
          <w:b/>
        </w:rPr>
        <w:t>E. 5</w:t>
      </w:r>
    </w:p>
    <w:p>
      <w:r>
        <w:t>La recourante dénonce ensuite une violation de son droit d'être entendue et se plaint d'un déni de justice formel. Les arguments soulevés à cet égard ne se rapportent que de manière vague à la partialité ou la prévention de l'expert. Pour autant qu'ils soient pertinents dans le cadre du moyen de la récusation, ils doivent quoi qu'il en soit être rejetés. En effet, on peut discerner les motifs qui ont guidé la décision de l'autorité, laquelle s'est prononcée sur les griefs de la recourante à propos de la prétendue partialité de l'expert ( ATF 141 V 557 consid. 3.2.1 et les références citées).</w:t>
      </w:r>
    </w:p>
    <w:p>
      <w:r>
        <w:rPr>
          <w:b/>
        </w:rPr>
        <w:t>E. 6</w:t>
      </w:r>
    </w:p>
    <w:p>
      <w:r>
        <w:t>La recourante semble enfin se prévaloir d'une violation de l' art. 47 al. 1 let . c et f CPC, ainsi que de l' art. 183 al. 2 CPC , en faisant grief aux précédents juges d'avoir retenu que sa demande de récusation était infondée. Elle leur reproche encore d'avoir constaté que cette demande était tardive et qu'elle n'avait pas formellement conclu à la récusation de l'expert. Devant le Tribunal fédéral, la recourante a expressément critiqué les considérations de l'instance cantonale liées à la tardiveté de sa demande de récusation et à l'absence de conclusion formelle à cet égard. En revanche, s'agissant des éléments qui, selon elle, justifient d'ordonner la récusation de l'expert, la recourante s'est contentée de reproduire la motivation qu'elle avait développée devant l'autorité précédente, sans fournir de plus amples explications. En reprenant telle quelle l'argumentation formée dans le cadre du recours cantonal, sans expliquer en quoi les juges précédents auraient violé le droit fédéral en considérant que les griefs soulevés à l'encontre de l'expert relevaient de simples impressions subjectives (cf. arrêt p. 11), la recourante n'a pas satisfait aux exigences de l' art. 42 al. 2 LTF ( ATF 140 III 115 consid. 2; 134 II 244 consid. 2.1 et 2.3; arrêt 4A_567/2017 du 24 janvier 2018 consid. 2.3). Le moyen est ainsi irrecevable. Dès lors, il est superflu d'examiner les griefs liés à la tardiveté de la demande de récusation et à l'absence de conclusion formelle à cet égard.</w:t>
      </w:r>
    </w:p>
    <w:p>
      <w:r>
        <w:rPr>
          <w:b/>
        </w:rPr>
        <w:t>E. 7</w:t>
      </w:r>
    </w:p>
    <w:p>
      <w:r>
        <w:t>En définitive, le recours doit être rejeté, dans la mesure où il est recevable. La recourante, qui succombe, prendra en charge les frais judiciaires ( art. 66 al. 1 LTF ). L'intimée n'ayant pas été invitée à déposer une réponse,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