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4A_577/2021 vom 8. März 2023</w:t>
      </w:r>
    </w:p>
    <w:p>
      <w:r>
        <w:t>Bundesgericht, 2023-03-08, IT</w:t>
      </w:r>
    </w:p>
    <w:p>
      <w:r>
        <w:rPr>
          <w:b/>
        </w:rPr>
        <w:t xml:space="preserve">Quelle: </w:t>
      </w:r>
      <w:r>
        <w:t>https://mcp.opencaselaw.ch/entscheid/bger_4A_577_2021</w:t>
      </w:r>
    </w:p>
    <w:p>
      <w:r>
        <w:t>FR: TF 4A_577/2021 du 8 mars 2023</w:t>
      </w:r>
    </w:p>
    <w:p>
      <w:r>
        <w:t>IT: TF 4A_577/2021 del 8 marzo 2023</w:t>
      </w:r>
    </w:p>
    <w:p>
      <w:pPr>
        <w:pStyle w:val="Heading2"/>
      </w:pPr>
      <w:r>
        <w:t>Erwägungen</w:t>
      </w:r>
    </w:p>
    <w:p>
      <w:r>
        <w:rPr>
          <w:b/>
        </w:rPr>
        <w:t>E. 1</w:t>
      </w:r>
    </w:p>
    <w:p>
      <w:r>
        <w:t>Il ricorso in materia civile è presentato tempestivamente ( art. 100 cpv. 1 LTF ) dalla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Il ricorrente deve pertanto spiegare puntualmente nei motivi del ricorso, confrontandosi con i considerandi della sentenza impugnata, perché quest'ultima viola il diritto ( DTF 143 II 283 consid. 1.2.2; 142 III 364 consid. 2.4).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e rinvii). Critiche appellatorie sono inammissibili ( DTF 148 IV 409 consid. 2.2; 148 I 104 consid. 1.5).</w:t>
      </w:r>
    </w:p>
    <w:p>
      <w:r>
        <w:t>Inoltre, quando la sentenza impugnata poggia su diverse motivazioni indipendenti, alternative o sussidiarie, di per sé sufficienti per definire l'esito della causa, il ricorrente è tenuto, pena l'inammissibilità, a dimostrare che ognuna di esse viola il diritto ( DTF 142 III 364 consid. 2.4 pag. 368; 138 I 97 consid. 4.1.4 e rinvii).</w:t>
      </w:r>
    </w:p>
    <w:p>
      <w:r>
        <w:rPr>
          <w:b/>
        </w:rPr>
        <w:t>E. 2.2</w:t>
      </w:r>
    </w:p>
    <w:p>
      <w:r>
        <w:t>Nella misura in cui il ricorrente si limita ad esporre la propria opinione senza confrontarsi in modo puntuale con i considerandi della sentenza impugnata, spiegando specificatamente per quali ragioni violerebbero il diritto, il gravame non adempie le citate esigenze di motivazione ed è quindi inammissibile. In particolare, l'esposto cronologico dei fatti e dell'iter procedurale (cfr. ricorso da pag. 5 a pag. 20) non è per sua natura idoneo a correggere o a precisare gli accertamenti contenuti nella sentenza impugnata, dei quali non è sostanziata l'arbitrarietà (cfr. sentenza 1C_534/2021 del 24 agosto 2022 consid. 2.2 e rinvio). Il ricorso è parimenti inammissibile laddove il ricorrente si limita a sollevare critiche in merito alle argomentazioni esposte dalla Corte cantonale a titolo abbondanziale, ma omette di contestare puntualmente la motivazione principale d'irricevibilità delle censure d'appello.</w:t>
      </w:r>
    </w:p>
    <w:p>
      <w:r>
        <w:rPr>
          <w:b/>
        </w:rPr>
        <w:t>E. 3.1</w:t>
      </w:r>
    </w:p>
    <w:p>
      <w:r>
        <w:t>La Corte cantonale ha rilevato che, con l'appello, il ricorrente aveva contestato che il titolo "2.375 % Euro Medium-term Notes D.________" fosse una semplice obbligazione: aveva per contro sostenuto che si trattava di un prodotto strutturato, inadatto ad un investitore privato. La Corte cantonale ha ritenuto irricevibile tale censura, siccome egli non si era confrontato puntualmente con le considerazioni contenute nella sentenza di primo grado, limitandosi ad opporre una propria lettura dei fatti. La Corte cantonale ha in particolare rilevato come il ricorrente non avesse spiegato le ragioni per cui sarebbe scorretto ritenere, sulla base della perizia giudiziaria, che il titolo D.________ in questione poteva essere considerato, al momento dell'acquisto nel luglio del 2006, un investimento prudente con un grado di rischio basso.</w:t>
      </w:r>
    </w:p>
    <w:p>
      <w:r>
        <w:rPr>
          <w:b/>
        </w:rPr>
        <w:t>E. 3.2</w:t>
      </w:r>
    </w:p>
    <w:p>
      <w:r>
        <w:t>Con il ricorso al Tribunale federale, il ricorrente adduce che in realtà l'appello sarebbe stato sufficientemente motivato, giacché egli si sarebbe puntigliosamente soffermato sull'effettiva pericolosità del titolo, contrapponendola alla constatazione del giudice di primo grado secondo cui</w:t>
      </w:r>
    </w:p>
    <w:p>
      <w:r>
        <w:t>"qualsiasi investimento può essere inserito nel portafoglio di un cliente retail, purché abbia un rating AAA" . Adduce di avere citato estesamente il prospetto di emissione del titolo D.________ per dimostrare che non si sarebbe trattato di una semplice obbligazione, bensì di un prodotto finanziario rischioso riservato ai professionisti, indipendentemente dal rating favorevole. Rileva inoltre di avere citato il complemento peritale, che confermava come il titolo fosse destinato ai clienti istituzionali e come B.________ AG, dal canto suo, avesse venduto le quote del titolo che lei stessa deteneva.</w:t>
      </w:r>
    </w:p>
    <w:p>
      <w:r>
        <w:rPr>
          <w:b/>
        </w:rPr>
        <w:t>E. 3.3</w:t>
      </w:r>
    </w:p>
    <w:p>
      <w:r>
        <w:t>Con queste argomentazioni, il ricorrente non si confronta tuttavia con le esigenze di motivazione dell'appello e non fa pertanto valere una precisa violazione dell' art. 311 cpv. 1 CPC . Questa norma obbliga l'appellante a dimostrare l'erroneità della decisione impugnata mediante una motivazione sufficientemente esplicita, che possa essere compresa facilmente dall'autorità superiore. Ciò presuppone la designazione precisa dei passaggi contestati e delle prove sulle quali si fondano le critiche. Non basta rinviare alle allegazioni proposte davanti alla prima istanza o rivolgere contro la sentenza impugnata solo delle critiche di carattere generale ( DTF 141 III 569 consid. 2.3.3; 138 III 374 consid. 4.3.1). In altre parole, l'appellante deve proporre un confronto critico e puntuale con la motivazione del giudizio dell'istanza inferiore (cfr. sentenza 4A_607/2019 del 22 aprile 2020 consid. 4.5 e rinvio).</w:t>
      </w:r>
    </w:p>
    <w:p>
      <w:r>
        <w:rPr>
          <w:b/>
        </w:rPr>
        <w:t>E. 3.4</w:t>
      </w:r>
    </w:p>
    <w:p>
      <w:r>
        <w:t>Nell'appello, il ricorrente non si è confrontato in modo specifico con i considerandi della sentenza di primo grado e con il contenuto della perizia giudiziaria alla base di tale decisione. Contrariamente all'asserzione del ricorrente, il giudizio pretorile non è fondato solo sul fatto che il titolo in questione aveva un rating AAA, ma è maggiormente articolato, e considera pure la circostanza, accertata dal perito giudiziario, secondo cui dalla data di emissione nel 2004 al mese di ottobre del 2007 la quotazione è rimasta stabilmente attorno al 100 %. Tiene altresì conto della tipologia degli altri investimenti eseguiti dal ricorrente, che parimenti sono stati qualificati dal perito giudiziario come prudenti e con un grado di rischio basso. Limitandosi in sostanza ad esporre una propria valutazione della natura del prodotto finanziario in questione, citando prevalentemente il prospetto di emissione, l'argomentazione d'appello non adempiva le esigenze di un confronto critico e puntuale con la motivazione determinante della sentenza pretorile. Ritenendola irricevibile, la Corte cantonale ha quindi applicato correttamente l' art. 311 CPC .</w:t>
      </w:r>
    </w:p>
    <w:p>
      <w:r>
        <w:rPr>
          <w:b/>
        </w:rPr>
        <w:t>E. 4.1</w:t>
      </w:r>
    </w:p>
    <w:p>
      <w:r>
        <w:t>La Corte cantonale ha parimenti ritenuto irricevibili, in applicazione degli art. 310 e 311 cpv. 1 CPC , le critiche ricorsuali riguardanti la sproporzione tra l'investimento litigioso e l'ammontare complessivo degli averi del ricorrente, nonché l'insufficiente diversificazione del suo portafoglio.</w:t>
      </w:r>
    </w:p>
    <w:p>
      <w:r>
        <w:rPr>
          <w:b/>
        </w:rPr>
        <w:t>E. 4.2</w:t>
      </w:r>
    </w:p>
    <w:p>
      <w:r>
        <w:t>In questa sede, egli si limita ad addurre in modo generico di avere sufficientemente motivato le ragioni per cui un titolo rischioso, riservato agli investitori istituzionali, non avrebbe potuto essere proposto ad un cliente privato. Non si confronta tuttavia con i considerandi del giudizio pretorile e non li raffronta con le argomentazioni d'appello. Non dimostra quindi di essersi misurato nell'allegato di appello, in modo critico e puntuale, con la motivazione del giudizio pretorile. La Corte cantonale ha riassunto nella sentenza impugnata sia le considerazioni determinanti della decisione di primo grado sia le censure sollevate, spiegando perché ha ritenuto carente la motivazione dell'appello. Il ricorrente non si esprime specificatamente al riguardo e non sostanzia quindi una violazione dell' art. 311 cpv. 1 CPC in maniera conforme alle esigenze dell' art. 42 cpv. 2 LTF .</w:t>
      </w:r>
    </w:p>
    <w:p>
      <w:r>
        <w:rPr>
          <w:b/>
        </w:rPr>
        <w:t>E. 5.1</w:t>
      </w:r>
    </w:p>
    <w:p>
      <w:r>
        <w:t>Il ricorrente lamenta la violazione dell'art. 11 cpv. 1 lett. a della previgente legge federale sulle borse e il commercio di valori mobiliari, del 24 marzo 1995 (LBVM; RU 1997 68), nonché degli art. 398 CO e 2 CC. Rimprovera all'opponente di non avergli fornito informazioni chiare e complete riguardo ai rischi dell'investimento in questione.</w:t>
      </w:r>
    </w:p>
    <w:p>
      <w:r>
        <w:rPr>
          <w:b/>
        </w:rPr>
        <w:t>E. 5.2</w:t>
      </w:r>
    </w:p>
    <w:p>
      <w:r>
        <w:t>Sollevando questa censura, concernente la violazione del diritto federale, il ricorrente si scosta tuttavia dai fatti accertati in sede cantonale, che non sono sostanziati d'arbitrio e sono pertanto vincolanti per il Tribunale federale (cfr. art. 105 cpv. 1 LTF ). Egli si fonda sul presupposto, come visto non accertato dai precedenti giudici, che il titolo in oggetto presentava un grado di rischio elevato. Ribadisce che l'investimento non sarebbe stato adatto ad un cliente che, come lui, era pensionato e disponeva di un capitale complessivo di fr. 150'000.-- derivante esclusivamente dalla sua pensione. Disattende tuttavia che, secondo quanto accertato in modo vincolante dai giudici cantonali, quando è stato acquistato, il titolo era considerato un investimento prudente con un grado di rischio basso. Laddove lamenta poi un rischio importante siccome l'investimento avrebbe interessato 1/3 dell'intero capitale depositato, egli non considera come al consulente bancario fosse stato indicato un patrimonio complessivo, depositato anche presso altre banche, di fr. 1'000'000.--. Poiché il gravame non adempie le esposte esigenze di motivazione, esso non deve essere vagliato oltre.</w:t>
      </w:r>
    </w:p>
    <w:p>
      <w:r>
        <w:rPr>
          <w:b/>
        </w:rPr>
        <w:t>E. 6</w:t>
      </w:r>
    </w:p>
    <w:p>
      <w:r>
        <w:t>Da quanto precede, discende che il ricorso si rivela, nella misura in cui è ammissibile, infondato e va come tale respinto. Le spese giudiziarie e le ripetibili seguono la soccombenza e sono quindi poste a carico del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