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4A_576/2022 vom 22. Dezember 2022</w:t>
      </w:r>
    </w:p>
    <w:p>
      <w:r>
        <w:t>Bundesgericht, 2022-12-22, DE</w:t>
      </w:r>
    </w:p>
    <w:p>
      <w:r>
        <w:rPr>
          <w:b/>
        </w:rPr>
        <w:t xml:space="preserve">Quelle: </w:t>
      </w:r>
      <w:r>
        <w:t>https://mcp.opencaselaw.ch/entscheid/bger_4A_576_2022</w:t>
      </w:r>
    </w:p>
    <w:p>
      <w:r>
        <w:t>FR: TF 4A_576/2022 du 22 décembre 2022</w:t>
      </w:r>
    </w:p>
    <w:p>
      <w:r>
        <w:t>IT: TF 4A_576/2022 del 22 dicembre 2022</w:t>
      </w:r>
    </w:p>
    <w:p>
      <w:pPr>
        <w:pStyle w:val="Heading2"/>
      </w:pPr>
      <w:r>
        <w:t>Erwägungen</w:t>
      </w:r>
    </w:p>
    <w:p>
      <w:r>
        <w:rPr>
          <w:b/>
        </w:rPr>
        <w:t>E. 1</w:t>
      </w:r>
    </w:p>
    <w:p>
      <w:r>
        <w:t>Mit Beschluss vom 18. Oktober 2022 trat das Bezirksgericht Zürich auf eine vom Beschwerdeführer gegen die Beschwerdegegner erhobene Forderungsklage nicht ein.</w:t>
      </w:r>
    </w:p>
    <w:p>
      <w:r>
        <w:t>Mit Beschluss vom 14. November 2022 trat das Obergericht des Kantons Zürich auf eine vom Beschwerdeführer gegen den bezirksgerichtlichen Entscheid vom 18. Oktober 2022 erhobene Berufung infolge unzureichender Begründung des Rechtsmittels nicht ein.</w:t>
      </w:r>
    </w:p>
    <w:p>
      <w:r>
        <w:t>Mit Eingabe vom 15. Dezember 2022 erklärte der Beschwerdeführer dem Bundesgericht, den Entscheid des Obergerichts des Kantons Zürich vom 14. November 2022 mit Beschwerde anfechten zu wollen.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Der Beschwerdeführer setzt sich in seiner Beschwerdeeingabe vom 15. Dezember 2022 nicht hinreichend mit den Erwägungen des angefochtenen Entscheids des Obergerichts des Kantons Zürich vom 14. November auseinander und zeigt nicht rechtsgenügend auf, inwiefern die Vorinstanz mit ihrem Nichteintretensentscheid Bundesrecht verletzt hätte. Stattdessen unterbreitet er dem Bundesgericht unter Hinweis auf verschiedene Beilagen in unzulässiger Weise seine Sicht der Dinge. Damit verfehlt er die gesetzlichen Begründungsanforderungen.</w:t>
      </w:r>
    </w:p>
    <w:p>
      <w:r>
        <w:t>Auf die Beschwerde ist somit mangels hinreichender Begründung nicht einzutreten ( Art. 108 Abs. 1 lit. b BGG ).</w:t>
      </w:r>
    </w:p>
    <w:p>
      <w:r>
        <w:rPr>
          <w:b/>
        </w:rPr>
        <w:t>E. 3</w:t>
      </w:r>
    </w:p>
    <w:p>
      <w:r>
        <w:t>Unter den gegebenen Umständen ist ausnahmsweise auf die Erhebung von Gerichtskosten zu verzichten (Art. 66 Abs. 1 zweiter Satz BGG). Den Beschwerdegegnern steht keine Parteientschädigung zu, da ihnen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