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576/2008 vom 19. Februar 2009</w:t>
      </w:r>
    </w:p>
    <w:p>
      <w:r>
        <w:t>Bundesgericht, 2009-02-19, FR</w:t>
      </w:r>
    </w:p>
    <w:p>
      <w:r>
        <w:rPr>
          <w:b/>
        </w:rPr>
        <w:t xml:space="preserve">Quelle: </w:t>
      </w:r>
      <w:r>
        <w:t>https://mcp.opencaselaw.ch/entscheid/bger_4A_576_2008</w:t>
      </w:r>
    </w:p>
    <w:p>
      <w:r>
        <w:t>FR: TF 4A 576/2008 du 19 février 2009</w:t>
      </w:r>
    </w:p>
    <w:p>
      <w:r>
        <w:t>IT: TF 4A 576/2008 del 19 febbraio 2009</w:t>
      </w:r>
    </w:p>
    <w:p>
      <w:pPr>
        <w:pStyle w:val="Heading2"/>
      </w:pPr>
      <w:r>
        <w:t>Regeste</w:t>
      </w:r>
    </w:p>
    <w:p>
      <w:r>
        <w:t>bail à loyer | Droit des contrats</w:t>
      </w:r>
    </w:p>
    <w:p>
      <w:pPr>
        <w:pStyle w:val="Heading2"/>
      </w:pPr>
      <w:r>
        <w:t>Erwägungen</w:t>
      </w:r>
    </w:p>
    <w:p>
      <w:r>
        <w:rPr>
          <w:b/>
        </w:rPr>
        <w:t>E. 1.1</w:t>
      </w:r>
    </w:p>
    <w:p>
      <w:r>
        <w:t>Le litige porte sur une différence de loyer de 3'600 fr. par an (20'400 fr. - 16'800 fr.). S'agissant d'un bail de durée indéterminée, il faut multiplier ce montant par vingt, conformément à l' art. 51 al. 4 LTF , pour déterminer la valeur litigieuse ( ATF 121 III 397 consid. 1 p. 399). Ainsi, la valeur litigieuse minimale de 15'000 fr. exigée en matière de bail à loyer est manifestement atteinte ( art. 74 al. 1 let. a LTF ).</w:t>
      </w:r>
    </w:p>
    <w:p>
      <w:r>
        <w:rPr>
          <w:b/>
        </w:rPr>
        <w:t>E. 1.2</w:t>
      </w:r>
    </w:p>
    <w:p>
      <w:r>
        <w:t>Interjeté par la partie qui a succombé dans ses conclusions sur le montant du loyer dû ( art. 76 al. 1 LTF ) et dirigé contre un jugement final ( art. 90 LTF ) rendu en matière civile ( art. 72 al. 1 LTF ) par une autorité cantonale de dernière instance ( art. 75 LTF ), le recours en matière civile est donc recevable, puisqu'il a été déposé dans le délai (art. 45 al. 1 et 100 al. 1 LTF) et la forme ( art. 42 LTF ) prévus par la loi.</w:t>
      </w:r>
    </w:p>
    <w:p>
      <w:r>
        <w:rPr>
          <w:b/>
        </w:rPr>
        <w:t>E. 1.3</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 Il ne peut entrer en matière sur la violation d'un droit constitutionnel ou sur une question relevant du droit cantonal ou intercantonal que si le grief a été invoqué et motivé de manière précise par la partie recourante ( art. 106 al. 2 LTF ).</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ATF 134 V 53 consid. 4.3 p. 62 -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p. 140). Une modification de l'état de fait ne peut cependant être demandée que si elle est susceptible d'influer sur le sort de la cause ( art. 97 al. 1 LTF ). Aucun fait nouveau ni preuve nouvelle ne peut être présenté à moins de résulter de la décision de l'autorité précédente ( art. 99 al. 1 LTF ).</w:t>
      </w:r>
    </w:p>
    <w:p>
      <w:r>
        <w:rPr>
          <w:b/>
        </w:rPr>
        <w:t>E. 1.5</w:t>
      </w:r>
    </w:p>
    <w:p>
      <w:r>
        <w:t>Le Tribunal fédéral ne peut aller au-delà des conclusions des parties ( art. 107 al. 1 LTF ). Toute conclusion nouvelle est irrecevable ( art. 99 al. 2 LTF ).</w:t>
      </w:r>
    </w:p>
    <w:p>
      <w:r>
        <w:rPr>
          <w:b/>
        </w:rPr>
        <w:t>E. 2.1</w:t>
      </w:r>
    </w:p>
    <w:p>
      <w:r>
        <w:t>Sur deux points, les recourants se plaignent d'un état de fait manifestement inexact ( art. 97 al. 1 LTF ), puis reprennent les mêmes arguments en invoquant l'arbitraire ( art. 9 Cst. ) dans l'appréciation des preuves. Ces deux griefs se confondent et doivent être examinés simultanément. Il faut préalablement rappeler qu'une modification de l'état de fait ne peut être demandée que si elle est susceptible d'influer sur le sort de la cause ( art. 97 al. 1 LTF ). Quant à l'arbitraire dans l'appréciation des preuves, il n'est réalisé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Pour qu'une décision soit annulée pour cause d'arbitraire, il ne suffit pas que la motivation formulée soit insoutenable, il faut encore que la décision apparaisse arbitraire dans son résultat ( ATF 134 I 263 consid. 3.1 p. 266). L' art. 270 al. 1 CO permet la contestation du loyer initial dans les conditions prévues à l' art. 270 al. 1 let. a CO et également dans les conditions prévues à l' art. 270 al. 1 let. b CO . Ces deux hypothèses sont alternatives et il suffit que les conditions de l'une des deux lettres de l' art. 270 al. 1 CO soient réunies pour que la contestation du loyer initial soit admissible (arrêt 4C.169/2002 du 16 octobre 2002, publié in Praxis 2003 n° 124 p. 661 consid. 2.1; arrêt 4C.367/2001 du 12 mars 2002, publié in SJ 2002 I p. 589 consid. 3a). En l'espèce, la cour cantonale a admis à la fois que les locataires se trouvaient en situation de contrainte au sens de l' art. 270 al. 1 let. a CO (arrêt attaqué p. 7) et qu'il y avait une sensible augmentation du loyer par rapport au précédent loyer au sens de l' art. 270 al. 1 let. b CO (arrêt attaqué p. 8 ch. 5.2.2). L'entrée en matière repose donc sur deux motivations alternatives dont chacune est suffisante. Dans une telle situation, les recourants auraient dû attaquer chacune des deux motivations ( ATF 133 IV 119 consid. 6.3 p. 120 s.). Ils ne l'ont pas fait. Il subsiste donc la seconde motivation fondée sur l' art. 270 al. 1 let. b CO , entièrement convaincante, qui suffit pour justifier l'entrée en matière. La discussion sur l'état de contrainte des locataires au sens de l' art. 270 al. 1 let. a CO est donc impropre à influencer le résultat de la cause ( art. 97 al. 1 LTF ) ou à faire apparaître la décision attaquée comme arbitraire dans son résultat. Il n'y a donc pas lieu d'examiner le premier point de fait soulevé par les recourants. Au demeurant, la cour cantonale a constaté que les recourants n'avaient pas discuté les circonstances de la contrainte "dans le cadre du présent appel" (arrêt attaqué p. 7 consid. 5.1); les recourants font valoir qu'ils les ont contestées lors de leur premier appel; cette argumentation est impropre à démontrer qu'il était arbitraire de retenir que ce point n'était pas contesté "dans le cadre du présent appel", c'est-à-dire lors du second appel. Invoquant les mêmes principes juridiques, les recourants se plaignent que la cour cantonale n'a pas tenu compte d'un témoignage selon lequel les locataires auraient accepté le loyer en échange du changement d'affectation. Le propre de l' art. 270 al. 1 CO est précisément de permettre aux locataires, dans le délai et les conditions prévus par la loi, de revenir sur un loyer qu'ils ont pourtant accepté en concluant le contrat. Il est donc absolument sans pertinence de démontrer que les locataires ont, dans un premier temps, accepté le document qui a été signé les 11 et 26 octobre 2004, le fait n'étant d'ailleurs même pas contesté. Dès lors, le point soulevé n'est pas propre à influer sur le sort de la cause et l'omission de ce témoignage ne peut faire apparaître la décision attaquée comme arbitraire dans son résultat. Au demeurant, il n'y a rien d'arbitraire à ne pas mentionner un témoignage sans pertinence.</w:t>
      </w:r>
    </w:p>
    <w:p>
      <w:r>
        <w:rPr>
          <w:b/>
        </w:rPr>
        <w:t>E. 2.2</w:t>
      </w:r>
    </w:p>
    <w:p>
      <w:r>
        <w:t>Les recourants contestent que l'avenant signé les 11 et 26 octobre 2004 puisse être considéré comme un nouveau bail, ouvrant la voie d'une contestation du loyer initial. Cette question a déjà été tranchée dans le premier arrêt de la Chambre d'appel qui a renvoyé la cause à l'autorité inférieure. Il s'agissait cependant d'une décision incidente qui n'était pas susceptible de recours au Tribunal fédéral ( art. 93 al. 1 LTF ), ce qui implique qu'elle peut être examinée dans le cadre du présent recours ( art. 93 al. 3 LTF ). Le bail à loyer est un contrat par lequel le bailleur s'oblige à céder l'usage d'une chose au locataire, moyennant un loyer ( art. 253 CO ). La prestation du bailleur ne se caractérise donc pas seulement par la chose louée, mais aussi par l'usage pour lequel elle est louée. L'usage cédé est un point essentiel du contrat au sens de l' art. 2 al. 1 CO . En l'espèce, le contrat du 16 mars 2004 prévoyait que les locaux pouvaient être utilisés exclusivement pour un laboratoire et qu'il était interdit d'y faire de la cuisine. Dans le document signé les 11 et 26 octobre 2004, les locaux sont cédés pour en faire un café-restaurant. On se trouve donc en présence d'un changement essentiel. Si l'on compare le contrat du 16 mars 2004 avec le document signé les 11 et 26 octobre 2004, on constate de nombreuses et importantes différences: les parties ne sont plus les mêmes, l'usage de la chose louée n'est plus le même, les locaux loués ne sont plus exactement les mêmes en raison de l'adjonction d'une petite surface, le loyer est sensiblement différent et on peut encore observer que le contrat du 16 mars 2004 ne permettait pas de modifier ainsi le loyer dès le 1er janvier 2005, comme le prévoit le document des 11 et 26 octobre 2004. Les changements sont si importants que la cour cantonale n'a pas violé le droit fédéral en considérant que le document des 11 et 26 octobre 2004 constituait un nouveau bail. Comme le changement d'affectation était manifestement souhaité par les locataires, on doit supposer que ce sont eux qui ont pris l'initiative de la négociation. On ne se trouve donc pas dans l'hypothèse où un bailleur essayerait de déguiser une hausse de loyer en la faisant apparaître comme un pseudo nouveau contrat de bail. Comme l'usage de la chose est profondément modifié, il ne s'agit pas non plus - contrairement à ce que soutiennent les recourants - d'une convention passée en cours de bail qui porterait seulement sur une modification du loyer. En qualifiant l'accord passé les 11 et 26 octobre 2004 comme un nouveau contrat de bail, la cour cantonale a appliqué correctement l' art. 253 CO et on ne discerne à cet égard aucune violation des art. 2 CC ou 18 CO.</w:t>
      </w:r>
    </w:p>
    <w:p>
      <w:r>
        <w:rPr>
          <w:b/>
        </w:rPr>
        <w:t>E. 2.3</w:t>
      </w:r>
    </w:p>
    <w:p>
      <w:r>
        <w:t>Il est constant que les locataires ont saisi la commission de conciliation en temps utile ( art. 270 al. 1 CO ) et que le loyer fixé dans le nouveau bail (20'400 fr.) est de 3'600 fr. plus élevé que celui du bail précédent (16'800 fr.), ce qui représente une hausse de 21,43 %. Il s'agit là d'une augmentation sensible au sens de l' art. 270 al. 1 let. b CO , puisque la jurisprudence a admis qu'une variation de l'ordre de 10 % correspondait déjà à cette qualification (arrêt 4C.169/2002 du 16 octobre 2002, publié in Praxis 2003 n° 124 p. 661 consid. 3.1). Les conditions d'une contestation du loyer initial étaient donc remplies, sans qu'il y ait à se demander si elles le seraient également sous l'angle des conditions alternatives posées par l' art. 270 al. 1 let. a CO . C'est donc à juste titre que la cour cantonale est entrée en matière sur la contestation du loyer initial et on ne discerne à cet égard aucune violation de l' art. 270 al. 1 CO .</w:t>
      </w:r>
    </w:p>
    <w:p>
      <w:r>
        <w:rPr>
          <w:b/>
        </w:rPr>
        <w:t>E. 2.4</w:t>
      </w:r>
    </w:p>
    <w:p>
      <w:r>
        <w:t>L' art. 270 al. 1 CO ne règle que les conditions formelles auxquelles est subordonnée la recevabilité d'une demande de diminution du loyer initial; ce sont les art. 269 et 269a CO exclusivement qui fournissent les critères matériels permettant de juger du bien-fondé d'une telle demande ( ATF 120 II 240 consid. 2 p. 243). Lors d'une contestation du loyer initial, le locataire doit être admis à apporter la preuve, par un calcul selon la méthode absolue, que le loyer convenu procure au bailleur un rendement excessif au sens de l' art. 269 CO ( ATF 124 III 310 consid. 2). Certes, le fardeau de la preuve incombe au locataire, mais cela n'exclut pas que sa partie adverse doive contribuer loyalement à l'administration des preuves (Higi, Zürcher Kommentar, 1998, n°s 79 et 80 ad art. 270 CO ; Weber, in Basler Kommentar, Obligationenrecht I, 4e éd. 2007, n° 8 art. 270 CO ; Lachat, Le bail à loyer, 2008, p. 394 no 2.3.3; SVIT-Kommentar Mietrecht, 3e éd. 2008, n° 47 ad art. 270 CO ). Selon les principes généraux tirés des règles de la bonne foi, la partie qui n'a pas la charge de la preuve doit néanmoins collaborer loyalement à l'administration des preuves et fournir les éléments qu'elle est seule à détenir ( ATF 115 II 1 consid. 4 p. 2; arrêt 4P.196/2005 du 10 février 2006 consid. 5.2). Ce principe est affirmé de manière expresse en droit du bail à l' art. 274d al. 3 CO . Dès lors que le bailleur détient seul les documents permettant un calcul de rendement, on peut attendre de lui qu'il les produise (arrêt 4C.61/2005 du 27 mai 2005, publié in SJ 2006 I p. 34 consid. 4.3.2). En conséquence, le juge n'a pas violé les règles sur le fardeau de la preuve - en particulier l' art. 8 CC invoqué par les recourants - en ordonnant aux bailleurs de produire les pièces qu'ils étaient seuls à détenir et qui étaient nécessaires pour le calcul de rendement que les locataires étaient en droit d'exiger. Les recourants s'y sont refusés. C'est une pure question d'appréciation des preuves de dire quelles conclusions on peut tirer d'une telle attitude (arrêt 4A_345/2007 du 8 janvier 2008 consid. 2.4.3; arrêt 4P.196/2005 du 10 février 2006 consid. 5.2; Higi, Zürcher Kommentar, 1996, n° 93 ad art. 274d CO ; Lachat, op. cit., p. 427 s. no 2.5 ; SVIT-Kommentar, op. cit., n° 22 ad art. 274d CO ). Le Tribunal fédéral ne peut examiner l'appréciation des preuves que sous l'angle restreint de l'arbitraire. Il n'y a rien d'arbitraire à conclure qu'une partie se refuse à produire des documents qu'elle détient parce que ceux-ci mettraient à néant sa position dans la procédure. Il n'est donc pas arbitraire de déduire du refus des recourants que le loyer demandé dans le nouveau bail est entièrement abusif par rapport à celui prévu dans le bail précédent, qui est admis par les intimés pour le nouveau bail.</w:t>
      </w:r>
    </w:p>
    <w:p>
      <w:r>
        <w:rPr>
          <w:b/>
        </w:rPr>
        <w:t>E. 2.5</w:t>
      </w:r>
    </w:p>
    <w:p>
      <w:r>
        <w:t>Il reste à se demander s'il n'y aurait pas des indices qui devraient ébranler cette conviction. Les recourants évoquent les loyers usuels dans le quartier ( art. 269a let. a CO ), mais ils n'ont apporté aucun des cinq éléments de comparaison exigés par la jurisprudence ( ATF 123 III 317 consid. 4a p. 319; arrêt 4C.19/1997 du 19 août 1997, publié in SJ 1998 I p. 218 consid. 4a), de sorte qu'ils n'ont fourni aucun élément qui puisse ébranler la conviction résultant de leur attitude de refus. Ils se prévalent certes des statistiques genevoises sur les loyers, mais il a déjà été jugé qu'elles étaient trop imprécises pour être utilisées en vue de fixer des loyers et qu'elles ne correspondent pas aux statistiques officielles envisagées à l' art. 11 al. 4 OBLF ( ATF 123 III 317 consid. 4c/cc p. 324 s.; arrêt 4A_472/2007 du 11 mars 2008 consid. 2.4). Il n'y a pas lieu d'y revenir. En l'absence de tout autre élément, le juge a fait un raisonnement fondé sur le loyer précédent, ce qui est en principe admissible (arrêt 4C.274/1997 du 27 avril 1998, publié in SJ 1998 I p. 718 consid. 4b/aa). On ne voit pas que le changement d'affectation puisse avoir des répercussions sur le rendement ou les coûts des bailleurs (tous les frais étant à la charge des locataires), alors qu'il s'agit d'éléments déterminants pour apprécier le loyer au regard des art. 269 et 269a CO . Le nouveau bail a été conclu très peu de temps après le précédent et l'augmentation de surface est dérisoire. On peut raisonnablement admettre que si la production des pièces permettant un calcul de rendement aurait conduit à justifier au moins partiellement la différence de loyer, les recourants n'auraient pas manqué de les produire. Au vu de l'ensemble de ces éléments, la cour cantonale n'a pas violé le droit fédéral en considérant que le loyer non abusif correspondait au loyer précédent. L'arrêt attaqué ne viole donc pas non plus les art. 269, 269a CO et 11 OBLF.</w:t>
      </w:r>
    </w:p>
    <w:p>
      <w:r>
        <w:rPr>
          <w:b/>
        </w:rPr>
        <w:t>E. 3</w:t>
      </w:r>
    </w:p>
    <w:p>
      <w:r>
        <w:t>Les frais judiciaires et les dépens sont mis solidairement à la charge des recourants qui succombent (art. 66 al. 1 et 5,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