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4A_575/2021 vom 20. Januar 2022</w:t>
      </w:r>
    </w:p>
    <w:p>
      <w:r>
        <w:t>Bundesgericht, 2022-01-20, DE</w:t>
      </w:r>
    </w:p>
    <w:p>
      <w:r>
        <w:rPr>
          <w:b/>
        </w:rPr>
        <w:t xml:space="preserve">Quelle: </w:t>
      </w:r>
      <w:r>
        <w:t>https://mcp.opencaselaw.ch/entscheid/bger_4A_575_2021</w:t>
      </w:r>
    </w:p>
    <w:p>
      <w:r>
        <w:t>FR: TF 4A_575/2021 du 20 janvier 2022</w:t>
      </w:r>
    </w:p>
    <w:p>
      <w:r>
        <w:t>IT: TF 4A_575/2021 del 20 gennaio 2022</w:t>
      </w:r>
    </w:p>
    <w:p>
      <w:pPr>
        <w:pStyle w:val="Heading2"/>
      </w:pPr>
      <w:r>
        <w:t>Erwägungen</w:t>
      </w:r>
    </w:p>
    <w:p>
      <w:r>
        <w:rPr>
          <w:b/>
        </w:rPr>
        <w:t>E. 1</w:t>
      </w:r>
    </w:p>
    <w:p>
      <w:r>
        <w:t>Mit Urteil vom 15. Dezember 2020 verpflichtete das Bezirksgericht Willisau A.________ (Beschwerdeführer) zur Bezahlung von Fr. 49'282.70 nebst Zins an die B.________ AG (Beschwerdegegnerin) und hob den entsprechenden Rechtsvorschlag im Umfang von Fr. 25'000.-- nebst Zins auf. Gegen dieses Urteil erhob der Beschwerdeführer Berufung an das Kantonsgericht Luzern. Dieses wies mit Urteil vom 24. September 2021 die Berufung ab, soweit es darauf eintrat, und bestätigte das erstinstanzliche Urteil.</w:t>
      </w:r>
    </w:p>
    <w:p>
      <w:r>
        <w:t>Gegen das Urteil des Kantonsgerichts erhob der Beschwerdeführer Beschwerde an das Bundesgericht. Mit Verfügung vom 12. November 2021 wies das Bundesgericht das Gesuch um Erteilung der aufschiebenden Wirkung ab.</w:t>
      </w:r>
    </w:p>
    <w:p>
      <w:r>
        <w:t>Mit Schreiben vom 30. Dezember 2021 zeigte die Beschwerdegegnerin dem Bundesgericht einen Anwaltswechsel an.</w:t>
      </w:r>
    </w:p>
    <w:p>
      <w:r>
        <w:t>Auf das Einholen von Vernehmlassungen zur Beschwerde wurde verzichtet.</w:t>
      </w:r>
    </w:p>
    <w:p>
      <w:r>
        <w:rPr>
          <w:b/>
        </w:rPr>
        <w:t>E. 2</w:t>
      </w:r>
    </w:p>
    <w:p>
      <w:r>
        <w:t>Die Beschwerde an das Bundesgericht ist nur gegen Entscheide letzter kantonaler Instanzen zulässig ( Art. 75 Abs. 1 BGG ). Auf die Beschwerde ist daher von vornherein nicht einzutreten, soweit sie sich gegen den Entscheid des Bezirksgerichts Willisau vom 15. Dezember 2020 richtet, da es sich dabei nicht um einen letztinstanzlichen Entscheid im Sinne von Art. 75 Abs. 1 BGG handelt.</w:t>
      </w:r>
    </w:p>
    <w:p>
      <w:r>
        <w:rPr>
          <w:b/>
        </w:rPr>
        <w:t>E. 3</w:t>
      </w:r>
    </w:p>
    <w:p>
      <w:r>
        <w:t>Der Beschwerdeführer beantragt, über die Beschwerde sei "eventual" in einer öffentlichen Verhandlung zu entscheiden.</w:t>
      </w:r>
    </w:p>
    <w:p>
      <w:r>
        <w:t>Vor Bundesgericht besteht kein Anspruch auf eine Parteiverhandlung ( Art. 57 BGG ) oder eine mündliche Beratung ( Art. 58 BGG ). Ohnehin ist die Beratungsfrage aufgrund der offensichtlich ungenügenden Begründung in der Sache obsolet (vgl. Erwägung 5).</w:t>
      </w:r>
    </w:p>
    <w:p>
      <w:r>
        <w:rPr>
          <w:b/>
        </w:rPr>
        <w:t>E. 4.1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4.2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5</w:t>
      </w:r>
    </w:p>
    <w:p>
      <w:r>
        <w:t>Diese Begründungsanforderungen erfüllt die Eingabe des Beschwerdeführers offensichtlich nicht.</w:t>
      </w:r>
    </w:p>
    <w:p>
      <w:r>
        <w:rPr>
          <w:b/>
        </w:rPr>
        <w:t>E. 5.1</w:t>
      </w:r>
    </w:p>
    <w:p>
      <w:r>
        <w:t>Der Beschwerdeführer beharrt in seiner Beschwerdeschrift im Wesentlichen auf seinem bereits vor der Vorinstanz vorgetragenen und von dieser verworfenen Standpunkt, dass die Parteien die strittige Vereinbarung mit einer Suspensivbedingung aufgesetzt hätten. Er qualifiziert die seiner Auffassung widersprechenden, ausführlichen Erwägungen der Vorinstanz als nicht nachvollziehbar, "absolut falsch", willkürlich und macht einen Verstoss gegen den Grundsatz von Treu und Glauben geltend, ohne indessen auf die Erwägungen der Vorinstanz hinreichend konkret einzugehen, geschweige denn nachvollziehbar aufzuzeigen, welche Rechte die Vorinstanz mit ihrem Entscheid inwiefern verletzt haben soll.</w:t>
      </w:r>
    </w:p>
    <w:p>
      <w:r>
        <w:rPr>
          <w:b/>
        </w:rPr>
        <w:t>E. 5.2</w:t>
      </w:r>
    </w:p>
    <w:p>
      <w:r>
        <w:t>Der Beschwerdeführer beantragt sodann eine andere Verteilung der kantonalen Verfahrenskosten, ohne dies jedoch weiter zu begründen. Auch darauf ist nicht einzutreten.</w:t>
      </w:r>
    </w:p>
    <w:p>
      <w:r>
        <w:rPr>
          <w:b/>
        </w:rPr>
        <w:t>E. 5.3</w:t>
      </w:r>
    </w:p>
    <w:p>
      <w:r>
        <w:t>Auf die Beschwerde ist somit mangels hinreichender Begründung nicht einzutreten ( Art. 108 Abs. 1 lit. b BGG ).</w:t>
      </w:r>
    </w:p>
    <w:p>
      <w:r>
        <w:rPr>
          <w:b/>
        </w:rPr>
        <w:t>E. 6</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