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4A_575/2013 vom 11. März 2014</w:t>
      </w:r>
    </w:p>
    <w:p>
      <w:r>
        <w:t>Bundesgericht, 2014-03-11, FR</w:t>
      </w:r>
    </w:p>
    <w:p>
      <w:r>
        <w:rPr>
          <w:b/>
        </w:rPr>
        <w:t xml:space="preserve">Quelle: </w:t>
      </w:r>
      <w:r>
        <w:t>https://mcp.opencaselaw.ch/entscheid/bger_4A_575_2013</w:t>
      </w:r>
    </w:p>
    <w:p>
      <w:r>
        <w:t>FR: TF 4A_575/2013 du 11 mars 2014</w:t>
      </w:r>
    </w:p>
    <w:p>
      <w:r>
        <w:t>IT: TF 4A_575/2013 del 11 marzo 2014</w:t>
      </w:r>
    </w:p>
    <w:p>
      <w:pPr>
        <w:pStyle w:val="Heading2"/>
      </w:pPr>
      <w:r>
        <w:t>Erwägungen</w:t>
      </w:r>
    </w:p>
    <w:p>
      <w:r>
        <w:rPr>
          <w:b/>
        </w:rPr>
        <w:t>E. 1.1</w:t>
      </w:r>
    </w:p>
    <w:p>
      <w:r>
        <w:t>La décision entreprise, qui confirme un jugement d'incompétence à raison du lieu, met fin à la procédure, en sorte qu'il s'agit d'une décision finale au sens de l' art. 90 LTF (arrêt 5A_423/2011 du 15 mai 2012 consid. 1.2 non publié in ATF 138 III 570 ).</w:t>
      </w:r>
    </w:p>
    <w:p>
      <w:r>
        <w:t>Interjeté par la partie qui a entièrement succombé dans ses conclusions en paiement et qui a donc qualité pour recourir ( art. 76 al. 1 LTF ), dirigé contre une décision rendue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 ATF 137 III 580 consid. 1.3 p. 584).</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1.4</w:t>
      </w:r>
    </w:p>
    <w:p>
      <w:r>
        <w:t>Le Tribunal fédéral ne peut aller au-delà des conclusions des parties ( art. 107 al. 1 LTF ).</w:t>
      </w:r>
    </w:p>
    <w:p>
      <w:r>
        <w:rPr>
          <w:b/>
        </w:rPr>
        <w:t>E. 2.1</w:t>
      </w:r>
    </w:p>
    <w:p>
      <w:r>
        <w:t>La cour cantonale indique que le recourant devait, en vertu de l' art. 10 al. 1 let. b CPC , introduire sa demande au for du siège de l'intimée (Berne), le rapport juridique entre celle-ci et celui-là ne remplissant pas les conditions d'application du for spécial prévu à l' art. 32 CPC (contrats conclus avec des consommateurs). Elle relève en particulier que la prétention du recourant est fondée sur sa qualité de membre de l'association intimée ( art. 60 ss CC ) et qu'elle est indépendante de la conclusion d'un contrat (d'assurance) entre les intéressés, qu'il paraît ensuite douteux qu'une action en paiement de plus de 53'000 fr. puisse encore porter sur une prestation de consommation courante, qu'enfin, la prestation qui est réclamée de l'intimée est directement en rapport avec l'activité professionnelle du recourant et que, partant, elle ne tend pas à satisfaire ses seuls besoins personnels ou familiaux.</w:t>
      </w:r>
    </w:p>
    <w:p>
      <w:r>
        <w:t>Reprochant à la cour cantonale d'avoir transgressé l' art. 32 CPC , le recourant revient brièvement sur chacun de ces motifs.</w:t>
      </w:r>
    </w:p>
    <w:p>
      <w:r>
        <w:rPr>
          <w:b/>
        </w:rPr>
        <w:t>E. 2.2</w:t>
      </w:r>
    </w:p>
    <w:p>
      <w:r>
        <w:t>Selon l' art. 32 CPC , en cas de litige concernant les contrats conclus avec des consommateurs, le for est celui du domicile ou du siège de l'une des parties lorsque l'action est intentée par le consommateur (al. 1 let. a).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(al. 2). Cet article, qui a la teneur de l'ancien art. 22 LFors , contient une définition similaire à celle inscrite à l' art. 120 LDIP (arrêt 5A_545/2011 du 24 octobre 2011 consid. 4.2.2; cf. ATF 121 III 336 consid. 5c p. 339).</w:t>
      </w:r>
    </w:p>
    <w:p>
      <w:r>
        <w:t>L'application de l' art. 32 CPC présuppose l'existence d'un contrat (cf. entre autres auteurs: ANNE-CHRISTINE FORNAGE, La mise en oeuvre des droits du consommateur contractant, Berne 2011, n. 98 ss p. 24 ss). Celui-ci doit porter sur une prestation de consommation courante - soit n'importe quel type de prestations (livraison de biens ou de services) correspondant aux besoins usuels courants - destinée aux besoins personnels ou familiaux (cf. ATF 121 III 336 consid. 5d p. 339; JACQUES HALDY, in Code de procédure civile commenté, Bohnet et al. [éd], 2011, no 7 ad art. 32 CPC ).</w:t>
      </w:r>
    </w:p>
    <w:p>
      <w:r>
        <w:t>Certains contrats d'assurance répondent à cette définition, comme l'assurance ménage ou une assurance responsabilité civile pour détenteur d'un véhicule automobile privé (sous l'angle de l' art. 120 LDIP : arrêt 5C.222/2005 du 12 janvier 2006 consid. 2.1 publié in SJ 2006 I p. 416). Dans la mesure où une assurance ne concerne plus le domaine privé du (prétendu) consommateur, mais la sphère professionnelle ou commerciale, l' art. 32 CPC ne trouve pas application (cf. ATF 121 III 336 consid. 5d p. 339; arrêt 5C.222/2005 déjà cité consid. 2.1 et 2.2; FELLER/BLOCH, op. cit., nos 19 s. et 46 ad art. 32 CPC ; BALZ GROSS, in Zum Gerichtsstand in Zivilsachen, Gauch/Thürer [éd.], 2002, p. 101 s. et 105 s.).</w:t>
      </w:r>
    </w:p>
    <w:p>
      <w:r>
        <w:rPr>
          <w:b/>
        </w:rPr>
        <w:t>E. 2.3</w:t>
      </w:r>
    </w:p>
    <w:p>
      <w:r>
        <w:t>Le rapport juridique noué entre une association et un de ses membres n'est pas de nature contractuelle et il ne tombe en principe pas dans le champ d'application de l' art. 32 CPC . Certes, l'adhésion à l'association résulte bien de l'échange de manifestations de volonté (cf. art. 1 CO ; ATF 134 III 625 consid. 3.5.2 p. 633), mais son effet juridique se limite à l'accession au sociétariat. La relation entre le nouveau membre et l'association n'est ensuite plus régie par la relation contractuelle initiale, mais par un rapport juridique particulier soumis au droit de l'association ( BÉNÉDICT FOËX, in Commentaire romand, Code civil I, 2010, nos 5 et 10 ad art. 70 CC ; HANS MICHAEL RIEMER, in Berner Kommentar, 1990, no 47 ad art. 70 CC ). Celui-ci règle les droits dont le sociétaire est titulaire (y compris le droit d'utilisation et celui d'obtenir des prestations pécuniaires) ainsi que les obligations qui sont les siennes vis-à-vis de l'association (cf. RIEMER, op. cit., no 167 ss ad art. 70 CC ).</w:t>
      </w:r>
    </w:p>
    <w:p>
      <w:r>
        <w:t>Selon la doctrine, devraient toutefois être réservés les litiges entre l'association et l'un de ses membres dans les (rares) situations où l'aspect associatif est relégué au second plan et où il existe entre eux un véritable rapport d'échange portant sur une prestation de consommation courante ( BALZ GROSS, in Gerichtsstandgesetz, in Müller/Wirth [éd.], 2001, nos 47 s. ad art. 22 LFors ; sur cette question cf. infra consid. 2.5).</w:t>
      </w:r>
    </w:p>
    <w:p>
      <w:r>
        <w:t>En outre, dans certains cas de figure, en plus de la relation particulière relevant du droit de l'association, il peut exister une ou des relations contractuelles entre l'association et un sociétaire. Tel est le cas, lorsque le sociétaire est engagé en tant qu'employé ou lorsqu'un contrat de bail est conclu ( RIEMER, op. cit., no 123 ad art. 70 CC ).</w:t>
      </w:r>
    </w:p>
    <w:p>
      <w:r>
        <w:t>La charge de la preuve des faits fondant l'application de l' art. 32 CPC incombe à celui qui se réclame de la qualité de consommateur ( FELLER/BLOCH, op. cit., no 14 ad art. 32 CPC ; FRIDOLIN WALTHER, in Berner Kommentar, Schweizerische Zivilprozessordnung, 2012, no 28 ad art. 32 CPC ).</w:t>
      </w:r>
    </w:p>
    <w:p>
      <w:r>
        <w:rPr>
          <w:b/>
        </w:rPr>
        <w:t>E. 2.4</w:t>
      </w:r>
    </w:p>
    <w:p>
      <w:r>
        <w:t>Il résulte en l'espèce des constatations cantonales que le recourant est membre de l'association intimée et qu'il doit, en cette qualité, s'acquitter d'une cotisation annuelle de 229 fr., calculée en fonction de son revenu (art. 11 des statuts et art. 14 ss du règlement " Cotisations et prestations " de l'intimée). Selon les statuts de l'intimée, celle-ci représente et encourage les intérêts des travailleurs dans les domaines sociaux, économiques, politiques, professionnels et culturels; dans ce cadre, elle offre à ses membres des prestations individuelles, en particulier dans le domaine de la formation, des conseils et de la protection juridique (art. 12 des statuts). Cette dernière prestation est octroyée à certaines conditions (fixées dans le règlement sur la protection juridique du syndicat Z.________), en particulier à celle que le " point de vue " du membre n'apparaisse pas dénué de chances de succès (art. 3 al. 2 du règlement précité).</w:t>
      </w:r>
    </w:p>
    <w:p>
      <w:r>
        <w:t>On ne saurait reprocher à la cour cantonale d'avoir inféré de ces constatations - qui lient le Tribunal fédéral ( art. 105 al. 1 LTF ) - que la qualité de membre de l'association confère en soi au recourant le droit de bénéficier, à certaines conditions, des prestations de protection juridique offertes par celle-là.</w:t>
      </w:r>
    </w:p>
    <w:p>
      <w:r>
        <w:t>Le recourant soutient qu'une partie des cotisations sert à financer les prestations de protection juridique; il en déduit qu'il s'agit d'une contrepartie qui démontre l'existence d'une situation " similaire à un contrat d'assurance ". L'argumentation n'est toutefois pas exempte de contradiction puisque le recourant reconnaît lui-même que les prestations fournies par le syndicat résultent exclusivement de sa réglementation statutaire et réglementaire. Il ne tente pas de démontrer que l'intimée offrirait à ses membres, voire à des tiers, la possibilité de bénéficier d'une protection juridique indépendante de celle prévue par les statuts et le règlement de l'association, soit une prestation qui trouverait son fondement dans une relation contractuelle.</w:t>
      </w:r>
    </w:p>
    <w:p>
      <w:r>
        <w:t>Il ressort de l'état de fait dressé par l'autorité précédente que la cotisation annuelle de 229 fr. couvre l'ensemble des prestations fournies par l'association. Déterminer la partie de ce montant due en contrepartie de la seule protection juridique conférée par l'intimée relèverait d'une construction artificielle, ce d'autant plus que le montant de la cotisation est fixé en fonction du revenu de chaque employé.</w:t>
      </w:r>
    </w:p>
    <w:p>
      <w:r>
        <w:t>Enfin le recourant ne conteste pas que les conditions de la protection juridique (à l'instar des autres prestations offertes par l'association), de même que le calcul de la cotisation annuelle, pourraient être modifiés unilatéralement par l'association selon les règles statutaires et réglementaires qui leur sont applicables, ce qui exclut la nature contractuelle du rapport juridique noué entre les parties (cf. RIEMER, op. cit., no 123 ad art. 70 CC ).</w:t>
      </w:r>
    </w:p>
    <w:p>
      <w:r>
        <w:rPr>
          <w:b/>
        </w:rPr>
        <w:t>E. 2.5</w:t>
      </w:r>
    </w:p>
    <w:p>
      <w:r>
        <w:t>S'agissant de la réserve exprimée en doctrine visant les litiges entre l'association et un de ses membres (cf. supra consid. 2.3), il n'est pas utile de prendre position sur cet avis. Quoi qu'il en soit, l'aspect associatif n'est en l'espèce pas relégué au second plan, la prestation litigieuse (protection juridique) servant à concrétiser l'objectif principal visé par le syndicat, à savoir la défense collective des intérêts des travailleurs dans leur entreprise et dans le monde du travail en général. Le fait que la protection juridique comprenne une prestation pécuniaire en faveur du sociétaire n'est pas problématique au regard du but idéal de l'association, les prestations de protection juridique ne représentant que le prolongement naturel du premier but du syndicat (cf. RIEMER, op. cit., no 76 ad art. 60 CC et no 171 ad art. 70 CC ).</w:t>
      </w:r>
    </w:p>
    <w:p>
      <w:r>
        <w:t>Il n'est au demeurant pas contesté que le recourant requiert la couverture des frais de procédure et d'avocat pour un litige qui l'oppose à ses anciens employeurs, à la suite d'un accident de travail survenu le 12 juillet 2009. La prétention du travailleur est en rapport direct avec son activité professionnelle et la prestation réclamée au syndicat ne remplit donc pas le critère de la consommation courante prévu à l' art. 32 CPC (cf. supra consid. 2.2). Il n'est ainsi pas nécessaire de se demander, contrairement à ce que semble penser le recourant, si le " contrat " remplit le critère fonctionnel de l'usage personnel ou familial, ou de déterminer s'il existe un déséquilibre entre les parties (cf. arrêt 5C.222/2005 déjà cité consid. 2.2).</w:t>
      </w:r>
    </w:p>
    <w:p>
      <w:r>
        <w:rPr>
          <w:b/>
        </w:rPr>
        <w:t>E. 2.6</w:t>
      </w:r>
    </w:p>
    <w:p>
      <w:r>
        <w:t>Cela étant, le raisonnement mené par la cour cantonale portant sur le droit de l'association n'a en l'espèce rien d'artificiel, et il n'y a pas lieu d'entreprendre une qualification différente (soit de soumettre le rapport juridique entre les parties au droit des contrats) pour l'application des règles de for ou, comme le requiert le recourant, pour celle du droit administratif de surveillance. La critique soulevée à cet égard est sans consistance.</w:t>
      </w:r>
    </w:p>
    <w:p>
      <w:r>
        <w:t>C'est donc à juste titre que la cour cantonale a tiré la conclusion que le rapport juridique entre l'association et l'un de ses membres, qui relève du droit de l'association ( art. 60 ss CC ), est exclu du champ d'application de l' art. 32 CPC .</w:t>
      </w:r>
    </w:p>
    <w:p>
      <w:r>
        <w:t>Le moyen tiré de la violation du droit fédéral est infondé.</w:t>
      </w:r>
    </w:p>
    <w:p>
      <w:r>
        <w:rPr>
          <w:b/>
        </w:rPr>
        <w:t>E. 3</w:t>
      </w:r>
    </w:p>
    <w:p>
      <w:r>
        <w:t>Il résulte des considérations qui précèdent que le recours doit être rejeté.</w:t>
      </w:r>
    </w:p>
    <w:p>
      <w:r>
        <w:t>Les frais judiciaires et les dépens sont mis à la charge du recourant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