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4A_574/2013 vom 15. Mai 2014</w:t>
      </w:r>
    </w:p>
    <w:p>
      <w:r>
        <w:t>Bundesgericht, 2014-05-15, DE</w:t>
      </w:r>
    </w:p>
    <w:p>
      <w:r>
        <w:rPr>
          <w:b/>
        </w:rPr>
        <w:t xml:space="preserve">Quelle: </w:t>
      </w:r>
      <w:r>
        <w:t>https://mcp.opencaselaw.ch/entscheid/bger_4A_574_2013</w:t>
      </w:r>
    </w:p>
    <w:p>
      <w:r>
        <w:t>FR: TF 4A_574/2013 du 15 mai 2014</w:t>
      </w:r>
    </w:p>
    <w:p>
      <w:r>
        <w:t>IT: TF 4A_574/2013 del 15 maggio 2014</w:t>
      </w:r>
    </w:p>
    <w:p>
      <w:pPr>
        <w:pStyle w:val="Heading2"/>
      </w:pPr>
      <w:r>
        <w:t>Erwägungen</w:t>
      </w:r>
    </w:p>
    <w:p>
      <w:r>
        <w:rPr>
          <w:b/>
        </w:rPr>
        <w:t>E. 1</w:t>
      </w:r>
    </w:p>
    <w:p>
      <w:r>
        <w:t>Die Beschwerde richtet sich gegen einen verfahrensabschliessenden Rechtsmittelentscheid eines oberen kantonalen Gerichts ( Art. 90 BGG i.V.m. Art. 75 BGG ). Sie ist innert der Beschwerdefrist ( Art. 100 BGG ) von der mit ihren Rechtsbegehren unterlegenen Partei ( Art. 76 Abs. 1 BGG ) eingereicht worden. Bei der Streitsache handelt es sich um eine Zivilsache ( Art. 72 BGG ) mit einem Streitwert von über Fr. 30'000.-- ( Art. 74 Abs. 1 lit. b BGG ).</w:t>
      </w:r>
    </w:p>
    <w:p>
      <w:r>
        <w:rPr>
          <w:b/>
        </w:rPr>
        <w:t>E. 2</w:t>
      </w:r>
    </w:p>
    <w:p>
      <w:r>
        <w:t>Die Beschwerdeführerin wirft der Vorinstanz eine offensichtlich unrichtige Feststellung des Sachverhalts vor.</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Wer die Sachverhaltsfeststellungen der Vorinstanz anfechten will, muss klar und substanziiert aufzeigen, inwiefern die gerügten Feststellungen bzw. die Unterlassung von Feststellungen offensichtlich unrichtig sind oder auf einer Rechtsverletzung im Sinne von Art. 95 BGG beruhen ( BGE 133 II 249 E. 1.4.3 S. 254 f.; 133 III 462 E. 2.4 S. 466 f.). Soweit eine Partei den Sachverhalt ergänzen will, hat sie zudem mit Aktenhinweisen darzulegen, dass sie entsprechende rechtsrelevante Tatsachen und taugliche Beweismittel bereits bei den Vorinstanzen prozesskonform eingebracht hat (Urteile des Bundesgerichts 4A_275/2011 vom 20. Oktober 2011 E. 2, nicht publ. in: BGE 137 III 359 ; 4A_214/2008 vom 9. Juli 2008 E. 1.2, nicht publ. in: BGE 134 III 570 ).</w:t>
      </w:r>
    </w:p>
    <w:p>
      <w:r>
        <w:t>In die Beweiswürdigung des Sachgerichts greift das Bundesgericht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 129 I 8 E. 2.1 S. 9). Dies ist insbesondere dann der Fall, wenn das Sachgericht offensichtlich unhaltbare Schlüsse zieht, erhebliche Beweise übersieht oder solche willkürlich ausser Acht lässt ( BGE 129 I 8 E. 2.1 S. 9). Inwiefern die Beweiswürdigung willkürlich sein soll, ist in der Beschwerde klar und detailliert aufzuzeigen ( BGE 134 II 244 E. 2.2 S. 246 ; 130 I 258 E. 1.3 S. 261). Das Bundesgericht hebt einen kantonalen Entscheid wegen Willkür nur auf, wenn er im Ergebnis unhaltbar ist ( BGE 137 I 1 E. 2.4 S. 5 mit Hinweisen).</w:t>
      </w:r>
    </w:p>
    <w:p>
      <w:r>
        <w:rPr>
          <w:b/>
        </w:rPr>
        <w:t>E. 2.2</w:t>
      </w:r>
    </w:p>
    <w:p>
      <w:r>
        <w:t>Nach Auffassung der Beschwerdeführerin habe die Vorinstanz zu Unrecht nicht festgestellt, dass zwischen den Parteien eine mündliche Gewinnbeteiligungsabrede bestanden habe, die von einem übereinstimmenden wirklichen Parteiwillen getragen sei. Dies ergebe sich aus dem Vorschlag einer Austrittsvereinbarung vom 6. November 2008 (Klagebeilage 4), welche die Beschwerdegegnerin selber entworfen habe und in der die Beschwerdeführerin nicht lediglich als Mitarbeiterin, sondern primär als "Partnerin" bezeichnet werde. Die Beschwerdegegnerin halte darin sodann wörtlich fest: "Frau A.________, Mitarbeiterin und Partnerin der B.________ GmbH, tritt per 31. Mai aus der Gesellschaft aus." Dieser Passus stelle kein Vergleichsangebot dar, sondern sei eine Feststellung über die Art der Zusammenarbeit der Parteien. Darin bestätige die Beschwerdegegnerin ihren wirklichen Willen zum offenbar mündlich getroffenen Konsens, dass zwischen den Parteien nicht lediglich ein arbeitsrechtliches, sondern darüber hinaus eine partnerschaftliche Zusammenarbeit bestanden habe. Indem die Vorinstanz über den beschriebenen, von der Beschwerdegegnerin geäusserten, wirklichen Willen hinweg gehe, lege sie ihrem Urteil einen unrichtig festgestellten Sachverhalt im Sinne von Art. 97 Abs. 1 BGG zugrunde. Die fehlerhafte Sachverhaltsfeststellung sei offensichtlich und verletze somit das Willkürverbot gemäss Art. 9 BV .</w:t>
      </w:r>
    </w:p>
    <w:p>
      <w:r>
        <w:rPr>
          <w:b/>
        </w:rPr>
        <w:t>E. 2.3</w:t>
      </w:r>
    </w:p>
    <w:p>
      <w:r>
        <w:t>Die Vorinstanz kam zum Schluss, dass eine (schriftliche) Vereinbarung, wonach die Beschwerdeführerin zu 50 % am Geschäftsgewinn der Beschwerdegegnerin beteiligt sein solle, nicht vorliege. Die Austrittsvereinbarung, in welcher eine 50%-Beteiligung vorgesehen war, sei mangels Konsenses nicht zustande gekommen. Auch mit den übrigen vor erster Instanz eingereichten Unterlagen Iasse sich der Nachweis für eine Gewinnbeteiligung nicht erbringen. Der Umstand, dass die Beschwerdeführerin der Beschwerdegegnerin den Vorschlag einer hälftigen Gewinnbeteiligung in der von ihr verfassten Austrittsvereinbarung unterbreitete, lasse es zwar als möglich erscheinen, dass bereits vorher eine mündliche Abrede bestanden habe. Den vorliegend erforderlichen Beweis könne die Beschwerdeführerin damit aber nicht erbringen. Es lägen denn auch keine Belege vor, die beispielsweise aufzeigen würden, dass die Beschwerdeführerin je in irgendeiner Form einen Anteil am Gewinn der Beschwerdegegnerin erhalten hatte. Die Beschwerdegegnerin habe der Beschwerdeführerin zwar Spesen vergütet und es sei die E-Mail-Korrespondenz der Beschwerdeführerin teilweise über das E-Mail-Konto der Beschwerdegegnerin geführt worden. Auch habe ein Kontokorrentguthaben zu Gunsten der Beschwerdeführerin in der Höhe von Fr. 311.30 Eingang in die Bilanz der Beschwerdegegnerin per 31. Mai 2008 gefunden. All dies sei zwar Ausdruck der Zusammenarbeit zwischen den Parteien, jedoch lasse sich daraus keine Abrede einer hälftigen Gewinnbeteiligung ableiten.</w:t>
      </w:r>
    </w:p>
    <w:p>
      <w:r>
        <w:rPr>
          <w:b/>
        </w:rPr>
        <w:t>E. 2.4</w:t>
      </w:r>
    </w:p>
    <w:p>
      <w:r>
        <w:t>Diese Ausführungen vermag die Beschwerdeführerin mit ihren Vorbringen nicht als willkürlich auszuweisen. Entgegen der Meinung der Beschwerdeführerin hat die Vorinstanz nicht nur das Zustandekommen einer schriftlichen, sondern auch einer mündlichen Gewinnbeteiligungsvereinbarung eingehend geprüft. Sie hat dabei die Klagebeilage 4 gewürdigt und kam zum Schluss, dass damit der Beweis für das Bestehen einer mündlichen Vereinbarung nicht erbracht werden könne. Diese Würdigung ist entgegen der Auffassung der Beschwerdeführerin nicht willkürlich.</w:t>
      </w:r>
    </w:p>
    <w:p>
      <w:r>
        <w:rPr>
          <w:b/>
        </w:rPr>
        <w:t>E. 3</w:t>
      </w:r>
    </w:p>
    <w:p>
      <w:r>
        <w:t>Die Beschwerdeführerin macht sodann geltend, dass auch aufgrund einer objektivierten Auslegung des Vereinbarungsentwurfs auf eine mündliche Gewinnbeteiligungsabrede geschlossen werden müsse. Die von der Beschwerdegegnerin im Entwurf der Austrittsvereinbarung verwendete Wortwahl könne schlicht nicht anders verstanden werden, als dass zwischen den Parteien zumindest ein normativer Konsens über eine Gewinnbeteiligungsabrede zwischen den Parteien im Umfang von je 50 % bestanden habe. Indem die Vorinstanz das Vorliegen einer solchen (mündlichen) vertraglichen Abrede ablehne, verstosse sie gegen Art. 2 ZGB und im Ergebnis - da sie das Bestehen eines Vertrages der Parteien fälschlicherweise verneine - auch gegen Art. 1 OR .</w:t>
      </w:r>
    </w:p>
    <w:p>
      <w:r>
        <w:rPr>
          <w:b/>
        </w:rPr>
        <w:t>E. 3.1</w:t>
      </w:r>
    </w:p>
    <w:p>
      <w:r>
        <w:t>Im schweizerischen Vertragsrecht gilt bei Fragen des Konsenses und der Auslegung der Grundsatz des Primats des subjektiv übereinstimmend Gewollten vor dem objektiv Erklärten, subjektiv aber unterschiedlich Verstandenen ( BGE 123 III 35 E. 2b S. 39). Im Konsens- wie im Auslegungsstreit hat das Sachgericht vorab zu prüfen, ob die Parteien sich tatsächlich übereinstimmend geäussert, verstanden und in diesem Verständnis geeinigt haben (subjektive Auslegung). Ist dies zu bejahen, liegt ein tatsächlicher Konsens vor ( BGE 132 III 626 E. 3.1 S. 632).</w:t>
      </w:r>
    </w:p>
    <w:p>
      <w:r>
        <w:t>Haben die Parteien sich zwar übereinstimmend geäussert, aber abweichend verstanden, liegt ein versteckter Dissens vor, welcher zum Vertragsschluss führt, wenn eine der Parteien nach dem Vertrauensgrundsatz in ihrem Verständnis der gegnerischen Willensäusserung zu schützen und damit die andere auf ihrer Äusserung in deren objektivem Sinn zu behaften ist. Hat der Empfänger einer Willenserklärung diese anders verstanden als der Erklärende oder lässt sich sein tatsächliches Verständnis nicht ermitteln, hat der Erklärende sie so gegen sich gelten zu lassen, wie sie der Empfänger nach ihrem Wortlaut und Zusammenhang sowie den gesamten Umständen in guten Treuen verstehen durfte und musste (objektive oder normative Auslegung). Diesfalls liegt ein normativer Konsens vor ( BGE 135 III 410 E. 3.2 S. 413; 133 III 675 E. 3.3 S. 681; 123 III 35 E. 2b S. 39 f.).</w:t>
      </w:r>
    </w:p>
    <w:p>
      <w:r>
        <w:rPr>
          <w:b/>
        </w:rPr>
        <w:t>E. 3.2</w:t>
      </w:r>
    </w:p>
    <w:p>
      <w:r>
        <w:t>Die Vorinstanz kam zum Schluss, dass die Beschwerdeführerin den Beweis für den Bestand einer Gewinnbeteiligungsabrede nicht erbringen konnte. Sie hat damit das Bestehen eines tatsächlichen Konsenses verneint. Aus dem angefochtenen Entscheid geht nicht hervor, dass die Vorinstanz auch das Zustandekommen eines normativen Konsenses geprüft hätte. Ein solcher liegt aber auch nicht vor, kann doch eine Partei aus einer ihr zugestellten Vertragsofferte, die sie in der Folge ausdrücklich ablehnt, keineswegs den ihr genehmen Teil (hier die Gewinnbeteiligungsabrede) herausgreifen und sich auf den Standpunkt stellen, sie hätte nach Treu und Glauben davon ausgehen dürfen, die Gegenpartei sei wenigstens damit einverstanden. Eine solche Argumentation verfängt nicht. Abgesehen davon hätte die Beschwerdeführerin vorliegend aufgrund der Zusendung einer schriftlichen Vertragsofferte nach Treu und Glauben ohnehin davon ausgehen müssen, dass die Beschwerdegegnerin die Anwendung einer schriftlichen Form vorbehalten hat. Damit wird nach Art. 16 Abs. 1 OR vermutet, dass die Parteien vor Erfüllung der Form nicht verpflichtet sein wollen. Ein mündlicher, normativer Konsens ist somit ausgeschlossen.</w:t>
      </w:r>
    </w:p>
    <w:p>
      <w:r>
        <w:rPr>
          <w:b/>
        </w:rPr>
        <w:t>E. 4</w:t>
      </w:r>
    </w:p>
    <w:p>
      <w:r>
        <w:t>Die Beschwerde erweist sich als unbegründet.</w:t>
      </w:r>
    </w:p>
    <w:p>
      <w:r>
        <w:t>Dem Verfahrensausgang entsprechend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