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4A_573/2022 vom 8. Februar 2023</w:t>
      </w:r>
    </w:p>
    <w:p>
      <w:r>
        <w:t>Bundesgericht, 2023-02-08, DE</w:t>
      </w:r>
    </w:p>
    <w:p>
      <w:r>
        <w:rPr>
          <w:b/>
        </w:rPr>
        <w:t xml:space="preserve">Quelle: </w:t>
      </w:r>
      <w:r>
        <w:t>https://mcp.opencaselaw.ch/entscheid/bger_4A_573_2022</w:t>
      </w:r>
    </w:p>
    <w:p>
      <w:r>
        <w:t>FR: TF 4A_573/2022 du 8 février 2023</w:t>
      </w:r>
    </w:p>
    <w:p>
      <w:r>
        <w:t>IT: TF 4A_573/2022 del 8 febbraio 2023</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ist daher auf die Beschwerde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134 II 244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 auch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Zu beachten ist, dass das Bundesgericht in die Beweiswürdigung des Sachgerichts nur eingreift, wenn diese willkürlich ist. 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2.12; 167 E. 2.1; 139 III 334 E. 3.2.5; je mit Hinweisen).</w:t>
      </w:r>
    </w:p>
    <w:p>
      <w:r>
        <w:rPr>
          <w:b/>
        </w:rPr>
        <w:t>E. 3.1</w:t>
      </w:r>
    </w:p>
    <w:p>
      <w:r>
        <w:t>Gemäss Art. 148 Abs. 1 ZPO kann das Gericht auf Gesuch einer säumigen Partei eine Nachfrist gewähren oder zu einem Termin erneut vorladen, wenn die Partei glaubhaft macht, dass sie kein oder nur ein leichtes Verschulden trifft. Das Versäumnis muss auf einem fehlenden oder leichten Verschulden beruhen. Das leichte Verschulden umfasst jedes Verhalten, das - ohne dass es akzeptierbar oder entschuldbar wäre - nicht zum schwerwiegenden Vorwurf gereicht. Dabei ist Tatfrage, wie sich die die Wiederherstellung begehrende Partei verhalten hat, während Rechtsfrage ist, ob das tatsächlich festgestellte Verhalten als leichtes Verschulden zu qualifizieren ist (Urteile 4A_127/2021 vom 19. Mai 2021 E. 3.1; 4A_52/2019 vom 20. März 2019 E. 3.1).</w:t>
      </w:r>
    </w:p>
    <w:p>
      <w:r>
        <w:t>Beim Entscheid darüber, ob die gesuchstellende Partei ein bloss leichtes Verschulden im Sinne von Art. 148 Abs. 1 ZPO trifft, handelt es sich um einen Ermessensentscheid (Urteile 4A_289/2021 vom 16. Juli 2021 E. 4; 4A_20/2019 vom 29. April 2019 E. 2 mit Hinweisen). Ermessensentscheide 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138 III 443 E. 2.1.3; 669 E. 3.1; je mit Hinweisen).</w:t>
      </w:r>
    </w:p>
    <w:p>
      <w:r>
        <w:rPr>
          <w:b/>
        </w:rPr>
        <w:t>E. 3.2</w:t>
      </w:r>
    </w:p>
    <w:p>
      <w:r>
        <w:t>Die Beschwerdeführerin rügt, sie habe entgegen den Erwägungen der Vorinstanz in ihrem Fristwiederherstellungsgesuch glaubhaft gemacht, dass sie bloss ein leichtes Verschulden an ihrem Versäumnis treffe und es ihr subjektiv unmöglich gewesen sei, die Frist zu wahren.</w:t>
      </w:r>
    </w:p>
    <w:p>
      <w:r>
        <w:rPr>
          <w:b/>
        </w:rPr>
        <w:t>E. 3.2.1</w:t>
      </w:r>
    </w:p>
    <w:p>
      <w:r>
        <w:t>Die Vorinstanz erachtete die Voraussetzungen von Art. 148 Abs. 1 ZPO als nicht erfüllt. Die Beschwerdeführerin habe ein bloss leichtes Verschulden an ihrem Versäumnis nicht glaubhaft gemacht. Sie führe lediglich vage aus, sie habe die Berufungsfrist wegen mehrerer unglücklicher, gleichzeitig aufgetretener Umstände und Missverständnisse verpasst, ohne diese Umstände konkret darzulegen. Ebenso wenig sei ein nur leichtes Verschulden mit dem Vorbringen glaubhaft gemacht, die Angelegenheit sei wegen mehrerer verketteter Missverständnisse nicht bis zum zuständigen Verwaltungsrat durchgedrungen. Der Berufung lasse sich zwar entnehmen, dass die für die Post verantwortliche Mitarbeiterin des zuständigen Verwaltungsrats D.________ wegen einer erschöpfungsbedingten Krankheit ausgefallen, wobei eine Arbeitsunfähigkeit für den Zeitraum vom 8. September 2022 bis zum 31. Oktober ärztlich attestiert worden sei. Dieses Vorbringen sei allerdings nicht geeignet, eine fehlende Kenntnis des Verwaltungsrats D.________ von der angefochtenen Verfügung zu erklären, da die Verfügung bereits am 6. September 2022 und damit zwei Tage vor der behaupteten Arbeitsunfähigkeit zugestellt worden sei. Die vorinstanzlichen Erwägungen erweisen sich als begründet und sind bundesrechtlich nicht zu beanstanden.</w:t>
      </w:r>
    </w:p>
    <w:p>
      <w:r>
        <w:rPr>
          <w:b/>
        </w:rPr>
        <w:t>E. 3.2.2</w:t>
      </w:r>
    </w:p>
    <w:p>
      <w:r>
        <w:t>Die Beschwerdeführerin beschränkt sich auch in ihrer Beschwerde auf die pauschale Behauptung, die Vorinstanz sei nur vage auf ihre Argumente eingegangen. Damit setzt sie sich nicht mit den obigen vorinstanzlichen Erwägungen auseinander, sondern gibt im Wesentlichen bloss ihre eigene Sicht der Dinge wieder. Zugleich zeigt sie auch nicht hinreichend auf, welche ihrer Argumente die Vorinstanz nicht berücksichtigt haben soll. Damit genügt sie weder den Rügeanforderungen (vgl. E. 2.1 und 2.3 hiervor), noch zeigt sie eine Bundesrechtsverletzung auf.</w:t>
      </w:r>
    </w:p>
    <w:p>
      <w:r>
        <w:rPr>
          <w:b/>
        </w:rPr>
        <w:t>E. 3.3</w:t>
      </w:r>
    </w:p>
    <w:p>
      <w:r>
        <w:t>Die Beschwerdeführerin macht weiter geltend, die Vorinstanz handle überspitzt formalistisch ( Art. 29 Abs. 1 BV ).</w:t>
      </w:r>
    </w:p>
    <w:p>
      <w:r>
        <w:t>Im Einzelnen rügt sie, es würden keine schutzwürdigen Interessen bestehen, welche die strenge Beurteilung der Vorinstanz rechtfertigten. So sei keine in ihren Interessen betroffene Gegenpartei vorhanden und nach Wiederherstellung des rechtmässigen Zustandes bestehe kein Interesse der Öffentlichkeit oder betroffener Gläubiger an ihrer Auflösung. Ausserdem entfalte die Ablehnung des Wiederherstellungsgesuchs drastische Auswirkungen, da diese die Auflösung einer wirtschaftlich soliden Gesellschaft zur Folge habe.</w:t>
      </w:r>
    </w:p>
    <w:p>
      <w:r>
        <w:rPr>
          <w:b/>
        </w:rPr>
        <w:t>E. 3.3.1</w:t>
      </w:r>
    </w:p>
    <w:p>
      <w:r>
        <w:t>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eine Verwirklichung des materiellen Rechts in unhaltbarer Weise erschwert oder verhindert ( BGE 145 I 201 E. 4.2.1 ; 142 I 10 E. 2.4.2 mit Hinweisen; siehe für das Zivilverfahrensrecht BGE 140 III 636 E. 3.5 f.).</w:t>
      </w:r>
    </w:p>
    <w:p>
      <w:r>
        <w:rPr>
          <w:b/>
        </w:rPr>
        <w:t>E. 3.3.2</w:t>
      </w:r>
    </w:p>
    <w:p>
      <w:r>
        <w:t>Die Beschwerdeführerin meint mithin, die Vorinstanz hätte die Frage des Verschuldens am Nichteinhalten der Frist übertrieben streng beurteilt, da sie weder die Interessenlage der Parteien bzw. der Öffentlichkeit noch die Auswirkungen der Gesuchsabweisung berücksichtigt habe. Mit diesem Vorbringen rügt sie unter dem Deckmantel von Art. 29 Abs. 1 BV eine falsche Anwendung von Art. 148 Abs. 1 ZPO . Allerdings ist nicht ersichtlich, inwiefern durch die angebliche Nichtberücksichtigung der erwähnten Interessen und Konsequenzen Art. 148 Abs. 1 ZPO mit übertriebener Strenge gehandhabt wird (vgl. Urteil 4A_127/2021 vom 19. Mai 2021 E. 7.3). Die Vorinstanz lehnte das Gesuch ab und stützte sich dabei auf die in Art. 148 Abs. 1 ZPO vorgesehene Voraussetzung, wonach die säumige Partei glaubhaft zu machen hat, dass sie kein oder nur ein leichtes Verschulden treffe. In diesem Vorgehen kann kein überspitzter Formalismus erkannt werden. Insofern liegt kein Anwendungsfall von Art. 29 Abs. 1 BV vor.</w:t>
      </w:r>
    </w:p>
    <w:p>
      <w:r>
        <w:t>Im Übrigen macht die Beschwerdeführerin geltend, der Organisationsmangel sei zwischenzeitlich behoben worden. Die Vorinstanz hielt allerdings fest, dass infolge der fehlenden Einreichung des konstitutiven Generalversammlungsprotokolls die Wahl von Frau C.________ als neues Verwaltungsratsmitglied und damit die Behebung des Organisationsmangels gerade nicht nachgewiesen worden sei. Auf diese Erwägung geht die Beschwerdeführerin ebenfalls nicht ein, womit sie auch in diesem Zusammenhang, die erwähnten Rügeanforderungen nicht zu genügen vermag (vgl. E. 2.1).</w:t>
      </w:r>
    </w:p>
    <w:p>
      <w:r>
        <w:rPr>
          <w:b/>
        </w:rPr>
        <w:t>E. 4</w:t>
      </w:r>
    </w:p>
    <w:p>
      <w:r>
        <w:t>Die Beschwerde ist offensichtlich unbegründet und im Verfahren nach Art. 109 Abs. 2 lit. a BGG abzuweisen, soweit überhaupt darauf einzutreten ist. Damit wird die Beschwerdeführerin kostenpflichtig ( Art. 66 Abs.1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