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572/2013 vom 11. Februar 2014</w:t>
      </w:r>
    </w:p>
    <w:p>
      <w:r>
        <w:t>Bundesgericht, 2014-02-11, FR</w:t>
      </w:r>
    </w:p>
    <w:p>
      <w:r>
        <w:rPr>
          <w:b/>
        </w:rPr>
        <w:t xml:space="preserve">Quelle: </w:t>
      </w:r>
      <w:r>
        <w:t>https://mcp.opencaselaw.ch/entscheid/bger_4A_572_2013</w:t>
      </w:r>
    </w:p>
    <w:p>
      <w:r>
        <w:t>FR: TF 4A 572/2013 du 11 février 2014</w:t>
      </w:r>
    </w:p>
    <w:p>
      <w:r>
        <w:t>IT: TF 4A 572/2013 del 11 febbraio 2014</w:t>
      </w:r>
    </w:p>
    <w:p>
      <w:pPr>
        <w:pStyle w:val="Heading2"/>
      </w:pPr>
      <w:r>
        <w:t>Regeste</w:t>
      </w:r>
    </w:p>
    <w:p>
      <w:r>
        <w:t>procédure civile; assistance judiciaire | Droit des obligations (en général)</w:t>
      </w:r>
    </w:p>
    <w:p>
      <w:pPr>
        <w:pStyle w:val="Heading2"/>
      </w:pPr>
      <w:r>
        <w:t>Erwägungen</w:t>
      </w:r>
    </w:p>
    <w:p>
      <w:r>
        <w:rPr>
          <w:b/>
        </w:rPr>
        <w:t>E. 1</w:t>
      </w:r>
    </w:p>
    <w:p>
      <w:r>
        <w:t>Le refus de l'assistance judiciaire est une décision incidente susceptible de causer un préjudice irréparable au plaideur requérant ( ATF 133 IV 335 consid. 4 p. 338; 129 I 129 consid. 1.1 p. 131); cette décision est donc susceptible d'un recours séparé selon l' art. 93 al. 1 let. a LTF . En l'état de la cause, la valeur litigieuse correspond aux conclusions d'appel du demandeur ( art. 51 al. 1 let . c LTF). Dans la mesure où elles sont chiffrées, elles n'atteignent pas le minimum légal de 30'000 fr. dont dépend la recevabilité du recours en matière civile ( art. 74 al. 1 let. b LTF ); on verra cependant que ce recours est de toute manière voué à l'échec.</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est régi par le code unifié.</w:t>
      </w:r>
    </w:p>
    <w:p>
      <w:r>
        <w:rPr>
          <w:b/>
        </w:rPr>
        <w:t>E. 3</w:t>
      </w:r>
    </w:p>
    <w:p>
      <w:r>
        <w:t>Aux termes de l' art. 117 let. a et b CPC , un plaideur a le droit d'obtenir l'assistance judiciaire s'il ne dispose pas de ressources suffisantes (let. a) et que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w:t>
      </w:r>
    </w:p>
    <w:p>
      <w:r>
        <w:rPr>
          <w:b/>
        </w:rPr>
        <w:t>E. 4</w:t>
      </w:r>
    </w:p>
    <w:p>
      <w:r>
        <w:t>Le recourant ne conteste pas avoir signé une quittance « pour solde de tout compte », comportant une remise de dette pour les prétentions excédant le montant reçu. Devant le Tribunal de première instance, il a soutenu que cette remise de dette ne l'oblige pas parce qu'il l'a prétendument signée sous l'influence de la crainte fondée, le directeur de l'hôtel lui ayant dit qu'il ne pourrait pas quitter les lieux s'il ne signait pas le document préparé selon ses instructions, et de l'erreur parce que ses lunettes avaient été cassées dans l'altercation. Le tribunal a relevé que dans sa plainte pénale, le recourant a décrit de manière très détaillée l'altercation survenue à l'hôtel et les menaces qu'il disait avoir reçues dans les jours suivants. Il n'a en revanche pas fait état de menaces entre l'altercation et la signature de la quittance, et il n'a pas dirigé sa plainte contre le directeur de l'hôtel. Le tribunal n'a par ailleurs trouvé aucun indice, dans le dossier de la cause pénale ni dans les témoignages directement recueillis, d'une quelconque contrainte exercée à l'encontre du recourant. Le tribunal a aussi rejeté le moyen tiré de l'erreur: le recourant n'a pas précisé les faits et circonstances qu'il s'est, le cas échéant, représentés faussement lors de la signature de la quittance, et il n'a pas non plus allégué ni prouvé qu'il fût incapable de lire sans ses lunettes. Le tribunal a enfin retenu que la quittance, supposée viciée, avait été tacitement ratifiée par le recourant, celui-ci ayant laissé plus d'une année - sept ans entre la signature du document et l'introduction de la demande en justice - avant d'exprimer l'intention de la contester.</w:t>
      </w:r>
    </w:p>
    <w:p>
      <w:r>
        <w:rPr>
          <w:b/>
        </w:rPr>
        <w:t>E. 5</w:t>
      </w:r>
    </w:p>
    <w:p>
      <w:r>
        <w:t>Dans son mémoire d'appel à la Cour de justice, le recourant persiste à affirmer qu'il a signé la quittance sous contrainte. Il invoque pour seule preuve le procès-verbal d'audience du 28 septembre 2011, sans plus de précisions, alors que dans ce compte-rendu, seules ses propres déclarations font état d'une contrainte exercée sur lui. Il ne tente aucune réfutation de l'appréciation des preuves exposée dans le jugement attaqué. Il persiste également à affirmer qu'il a de plus signé la quittance sous l'influence de l'erreur, toujours parce que ses lunettes étaient cassées, mais les considérants du premier juge relatifs à cette allégation restent là également indiscutés. La motivation de l'appel est donc inconsistante, de sorte que les autorités précédentes sont fondées à le tenir pour dépourvu de chances de succès. La décision présentement attaquée se révèle conforme à l' art. 117 let. b CPC , ce qui entraîne le rejet du recours.</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elle non plus aucune chance de succès, ce qui entraîne le rejet de la demande d'assistance judiciaire.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