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56/2013 vom 4. Juni 2013</w:t>
      </w:r>
    </w:p>
    <w:p>
      <w:r>
        <w:t>Bundesgericht, 2013-06-04, DE</w:t>
      </w:r>
    </w:p>
    <w:p>
      <w:r>
        <w:rPr>
          <w:b/>
        </w:rPr>
        <w:t xml:space="preserve">Quelle: </w:t>
      </w:r>
      <w:r>
        <w:t>https://mcp.opencaselaw.ch/entscheid/bger_4A_56_2013</w:t>
      </w:r>
    </w:p>
    <w:p>
      <w:r>
        <w:t>FR: TF 4A 56/2013 du 4 juin 2013</w:t>
      </w:r>
    </w:p>
    <w:p>
      <w:r>
        <w:t>IT: TF 4A 56/2013 del 4 giugno 2013</w:t>
      </w:r>
    </w:p>
    <w:p>
      <w:pPr>
        <w:pStyle w:val="Heading2"/>
      </w:pPr>
      <w:r>
        <w:t>Regeste</w:t>
      </w:r>
    </w:p>
    <w:p>
      <w:r>
        <w:t>Kooperationsvertrag; nachvertragliches Wettbewerbsverbot | Obligationenrecht (allgemein)</w:t>
      </w:r>
    </w:p>
    <w:p>
      <w:pPr>
        <w:pStyle w:val="Heading2"/>
      </w:pPr>
      <w:r>
        <w:t>Erwägungen</w:t>
      </w:r>
    </w:p>
    <w:p>
      <w:r>
        <w:rPr>
          <w:b/>
        </w:rPr>
        <w:t>E. 1</w:t>
      </w:r>
    </w:p>
    <w:p>
      <w:r>
        <w:t>Das Bundesgericht prüft die Sachurteilsvoraussetzungen der Beschwerde von Amtes wegen und mit freier Kognition ( BGE 138 IV 186 E. 1). Immerhin muss die Eingabe auch bezüglich der Eintretensvoraussetzungen hinreichend begründet werden ( Art. 42 Abs. 1 und 2 BGG ; BGE 134 II 120 E. 1 S. 121; 133 II 400 E. 2 S. 403 f.).</w:t>
      </w:r>
    </w:p>
    <w:p>
      <w:r>
        <w:rPr>
          <w:b/>
        </w:rPr>
        <w:t>E. 1.1</w:t>
      </w:r>
    </w:p>
    <w:p>
      <w:r>
        <w:t>Nicht angefochten ist vorliegend der Beschluss vom 26. November 2012, mit dem die Vorinstanz mangels (hinreichend behauptetem) Rechtsschutzinteresse bzw. mangels hinreichend bestimmtem Rechtsbegehren auf das "Rechtsbegehren Ziff. 1 mit Ausnahme betreffend U.________" nicht eintrat. Die vorliegende Beschwerde richtet sich, was die Beschwerdegegnerin verkennt, sowohl nach dem gestellten Rechtsbegehren als auch nach der Begründung, nur gegen das gleichentags ergangene Urteil der Vorinstanz. Damit ist klar, in welchem Umfang der vorinstanzliche Entscheid angefochten ist und steht insoweit einem Eintreten auf die Beschwerde nichts entgegen.</w:t>
      </w:r>
    </w:p>
    <w:p>
      <w:r>
        <w:rPr>
          <w:b/>
        </w:rPr>
        <w:t>E. 1.2</w:t>
      </w:r>
    </w:p>
    <w:p>
      <w:r>
        <w:t>Die Beschwerdegegnerin beantragt, auf die Beschwerde sei nicht einzutreten, weil die Beschwerdeführerin keinen materiellen Antrag in der Sache stelle, sondern nur einen Rückweisungsantrag, ohne zu begründen, weshalb das Bundesgericht bei Gutheissung der Beschwerde nicht selbst endgültig entscheiden könnte. Die Beschwerdeschrift hat grundsätzlich ein Rechtsbegehren in der Sache zu enthalten ( Art. 42 Abs. 1 und Art. 107 Abs. 2 BGG ). Ein blosser Rückweisungsantrag reicht ausnahmsweise aus, wenn das Bundesgericht im Falle der Gutheissung in der Sache nicht selbst entscheiden könnte, weil die erforderlichen Sachverhaltsfeststellungen der Vorinstanz fehlen ( BGE 136 V 131 E. 1.2; 134 III 379 E. 1.3 S. 383; 133 III 489 E. 3.1). Es trifft einerseits zu, dass die Beschwerdeführerin nicht ausdrücklich begründet, weshalb sie bloss einen Rückweisungsantrag stellt, namentlich nicht im Rahmen ihrer Darlegungen der Sachurteilsvoraussetzungen, in dem entsprechende Ausführungen zu erwarten wären. Es ist insoweit fraglich, ob auf die Beschwerde eingetreten werden kann (Erwägung 1). Andererseits gilt es, einen überspitzten Formalismus zu vermeiden. Dabei fällt ins Gewicht, dass die Beschwerdeführerin unter den Titeln "II. Formelles" und "E. Beschwerdegründe" ihrer Beschwerdeschrift ankündigt, sie werde insbesondere eine Verletzung des Anspruchs auf Beweisführung sowie des Anspruchs auf rechtliches Gehör rügen. Im Anschluss an die entsprechenden Rügen, in denen sie der Vorinstanz vorwirft, bei der Ermittlung des wirklichen Parteiwillens hinsichtlich der inhaltlichen Tragweite der Zustimmungserklärung zum Kooperationsvertrag vom 25. September 2006 wesentliche Beweisanträge übersehen zu haben, verlangt die Beschwerdeführerin unter Nennung der Bestimmung von Art. 107 Abs. 2 BGG , der vorinstanzliche Entscheid sei aufzuheben und zur Behandlung der Beweisanträge an die Vorinstanz zurückzuweisen. Damit ist der Rückweisungsantrag nach Form und Inhalt hinreichend begründet. In der Tat wäre die Sache bei einer Gutheissung der entsprechenden Rügen zur Ergänzung des Beweisverfahrens an die Vorinstanz zurückzuweisen, weshalb allein ein Rückweisungsantrag angebracht ist.</w:t>
      </w:r>
    </w:p>
    <w:p>
      <w:r>
        <w:rPr>
          <w:b/>
        </w:rPr>
        <w:t>E. 1.3</w:t>
      </w:r>
    </w:p>
    <w:p>
      <w:r>
        <w:t>Im Übrigen sind die Sachurteilsvoraussetzungen der Beschwerde in Zivilsachen vorliegend erfüllt und geben zu keinen Bemerkungen Anlass. Unter Vorbehalt einer hinlänglichen Begründung ( Art. 42 Abs. 2 und Art. 106 Abs. 2 BGG ) ist grundsätzlich auf die Beschwerde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Da die Beschwerdeführerin ihren Sitz in Deutschland hat, liegt ein internationaler Sachverhalt vor und ist die Frage nach dem anwendbaren Recht von Amtes wegen zu prüfen ( BGE 137 III 481 E. 2.1). Die Vorinstanz kam aufgrund von einlässlichen Erwägungen zum Ergebnis, auf den Kooperationsvertrag zwischen der T.________ und der Beschwerdeführerin komme deutsches Recht zur Anwendung. Die Zustimmungserklärung der R.________ International AG bzw. der Beschwerdegegnerin zum Kooperationsvertrag unterstehe dagegen schweizerischem Recht. Für die umstrittene und im Hinblick auf die Auslegung der Zustimmungserklärung bedeutsame Frage, welche Rolle der Beschwerdegegnerin im Y.________-Konzern zukommt, namentlich ob sie die herrschende Gesellschaft im Konzern sei, brachte die Vorinstanz ebenfalls Schweizer Recht zur Anwendung. Die betreffenden Ausführungen werden von den Parteien nicht in Frage gestellt und sind zutreffend.</w:t>
      </w:r>
    </w:p>
    <w:p>
      <w:r>
        <w:rPr>
          <w:b/>
        </w:rPr>
        <w:t>E. 4</w:t>
      </w:r>
    </w:p>
    <w:p>
      <w:r>
        <w:t>Die Vorinstanz wies das Rechtsbegehren 1, soweit sie darauf eintrat, mit der Hauptbegründung ab, dass sich die Beschwerdegegnerin mit der Zustimmungserklärung zum Kooperationsvertrag vom 25. September 2006 ( " Zustimmend die Rechte und Pflichten für sich anerkennend " ) nicht verpflichtet habe, für eine Verletzung des nachvertraglichen Wettbewerbsverbots in Art. 7 Abs. 6 des Kooperationsvertrages durch U.________ einzustehen bzw. zu haften.</w:t>
      </w:r>
    </w:p>
    <w:p>
      <w:r>
        <w:rPr>
          <w:b/>
        </w:rPr>
        <w:t>E. 4.1</w:t>
      </w:r>
    </w:p>
    <w:p>
      <w:r>
        <w:t>Die Beschwerdeführerin hatte dazu im vorinstanzlichen Verfahren den Standpunkt vertreten, der Grund, warum gerade die Beschwerdegegnerin, die selber keine Backwaren produziere, die Zustimmungserklärung abgegeben habe, liege im Umstand, dass sie das für die operative Führung zuständige Konzernunternehmen sei, dem es möglich bzw. das verpflichtet sei, u.a. die Produktion und den Vertrieb von Backwaren innerhalb des Konzerns zu steuern. Daher sei es der Beschwerdegegnerin aufgrund des Wettbewerbsverbots auch untersagt, die operative Tätigkeit der R.________- bzw. Y.________-Gruppe so auszurichten, dass vom Verbot erfasste Backwaren von einem anderen Konzernunternehmen produziert würden, bzw. sei es ihr verboten, diese Waren durch ein anderes bestehendes oder künftiges Konzernunternehmen wie die U.________ produzieren zu lassen. Das nachvertragliche Wettbewerbsverbot gehe namentlich über die Verpflichtung von T.________ hinaus. Ohne eine derartige Auslegung des Vertragsbeitritts der Beschwerdegegnerin würde das Wettbewerbsverbot ins Leere laufen, könnte doch die Produktion der von diesem erfassten Backwaren einfach an ein anderes bestehendes oder erst zu gründendes, nicht unmittelbar an das Wettbewerbsverbot gebundenes Konzernunternehmen ausgelagert werden. Die Beschwerdegegnerin wendete dagegen ein, die R.________ International AG habe die Erklärung für sich und nicht zusätzlich für andere, zum Zeitpunkt des Vertragsabschlusses existierende R.________-Gesellschaften, und schon gar nicht für später neu hinzukommende Konzerngesellschaften abgegeben. Die Beschwerdegegnerin sei zu keinem Zeitpunkt Obergesellschaft im R.________-Konzern gewesen und habe auch keine Führungs- und Weisungsfunktionen gegenüber anderen Konzerngesellschaften gehabt. Die zustimmende Erklärung könne nur bedeuten, dass die Beschwerdegegnerin es im Sinne einer Beistandsverpflichtung übernehme, T.________ in die Lage zu versetzen, die sich aus dem Vertrag ergebenden Verpflichtungen erfüllen zu können. Es sei darum gegangen, das Vertragsverhältnis auf eine finanziell sichere Grundlage zu stellen, und das nachvertragliche Verbot habe bei diesen Überlegungen keine Rolle gespielt.</w:t>
      </w:r>
    </w:p>
    <w:p>
      <w:r>
        <w:rPr>
          <w:b/>
        </w:rPr>
        <w:t>E. 4.2</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136 III 186 E. 3.2.1 S. 188; 132 III 24 E. 4 S. 27 f.; 131 III 606 E. 4.1 S. 611; 130 III 66 E. 3.2). Dabei hat der Richter zu berücksichtigen, was sachgerecht ist, weil nicht anzunehmen ist, dass die Parteien eine unangemessene Lösung gewollt haben ( BGE 122 III 420 E. 3a S. 424).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4.3</w:t>
      </w:r>
    </w:p>
    <w:p>
      <w:r>
        <w:t>Die Vorinstanz verneinte, dass es sich bei der Zustimmungserklärung um eine kumulative Schuldübernahme handle. Ob sie als Bürgschaftserklärung oder als Garantieversprechen zu qualifizieren sei, liess sie offen, da dies für den Verfahrensausgang nicht entscheidend sei. Im ersten Fall wäre die Verpflichtung schon wegen Formmängeln nichtig. Bei Annahme einer Garantieerklärung führte ihre Auslegung zum Ergebnis, dass die Beschwerdegegnerin mit der Zustimmungserklärung nicht die von der Beschwerdeführerin behaupteten Verpflichtungen übernommen habe. Es bestehe kein Anspruch der Beschwerdeführerin, der Beschwerdegegnerin die in Rechtsbegehren Ziff. 1 aufgezählten Handlungen verbieten zu lassen, weshalb dieses Begehren abzuweisen sei. Dabei ging sie aufgrund ihrer Würdigung davon aus, dass der Beschwerdegegnerin im Y.________-Konzern die Rolle einer Untergesellschaft ohne Führungs- und Weisungsbefugnisse gegenüber U.________ zukam bzw. zukommt.</w:t>
      </w:r>
    </w:p>
    <w:p>
      <w:r>
        <w:rPr>
          <w:b/>
        </w:rPr>
        <w:t>E. 4.4</w:t>
      </w:r>
    </w:p>
    <w:p>
      <w:r>
        <w:t>Im Rahmen der Ermittlung der inhaltlichen Tragweite der Zustimmungserklärung hielt die Vorinstanz fest, die Parteien seien sich über den wirklichen Parteiwillen nicht einig und die Beschwerdeführerin habe dazu keine Beweismittel benannt. Mangels Beweisofferte der beweisbelasteten Beschwerdeführerin brauche der wirkliche Parteiwille nicht ermittelt zu werden und sei auf das Vertrauensprinzip zurückzugreifen. Die Beschwerdeführerin rügt, die Vorinstanz habe damit den Anspruch auf Beweisführung ( Art. 8 ZGB ) und den Anspruch auf rechtliches Gehör ( Art. 29 Abs. 2 BV ) verletzt. Sie habe drei von der Beschwerdeführerin gestellte Beweisanträge zum Thema des wirklichen Parteiwillens (Parteibefragung, Befragung der Herren A.________ und B.________ als Zeugen) schlicht übersehen und deshalb unter Verzicht auf die Ermittlung des wirklichen Parteiwillens auf das Vertrauensprinzip zurückgegriffen. Die Rüge ist unbegründet. An der von der Beschwerdeführerin angerufenen Aktenstelle (Klageschrift Rz. 19) äusserte sich die Beschwerdeführerin nicht zur inhaltlichen Tragweite der Zustimmungserklärung und behauptete keinen diesbezüglich übereinstimmenden tatsächlichen Parteiwillen. Vielmehr stellte sie an der entsprechenden Stelle ihrer Klageschrift bloss die Behauptung auf, die Beschwerdegegnerin habe die Zustimmungserklärung abgegeben. Bloss zu dieser (unbestritten gebliebenen) Behauptung, d.h. im Anschluss an dieselbe, offerierte die Beschwerdeführerin die genannten Beweismittel. Dass die Vorinstanz eine Beweisofferte zum Thema des wirklichen Parteiwillens betreffend die inhaltliche Tragweite der Zustimmungserklärung übersehen und durch deren Nichtberücksichtigung den Anspruch auf Beweisführung verletzt hätte, ist damit nicht dargetan. Namentlich Art. 8 ZGB gibt der beweispflichtigen Partei in allen bundesrechtlichen Zivilstreitigkeiten bloss dann einen Anspruch darauf, für rechtserhebliche Vorbringen zum Beweis zugelassen zu werden, wenn ihr Beweisantrag nach Form und Inhalt den Vorschriften des anwendbaren Prozessrechts entspricht (vgl. BGE 133 III 295 E. 7.1 mit Hinweisen). Unter der auf das vorinstanzliche Verfahren anwendbaren Schweizerischen Zivilprozessordnung ( Art. 404 Abs. 1 ZPO e contrario) ist ein Beweismittel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vgl. dazu Brönnimann, in: Berner Kommentar, Zivilprozessordnung, 2012, N. 23 zu Art. 152 ZPO ; Killias, in: Berner Kommentar, Zivilprozessordnung, 2012, N. 29 zu Art. 221 ZPO ; Frei/Willisegger, in: Basler Kommentar, Schweizerische Zivilprozessordnung, 2010, N. 22 zu Art. 221 ZPO ; Leuenberger, in: Sutter-Somm und andere [Hrsg.], Kommentar zur Schweizerischen Zivilprozessordnung, 2. Aufl. 2013, N. 51 zu Art. 221 ZPO ; Tappy, in: François Bohnet und andere [Hrsg.], Code de procédure civile commenté, 2011, N. 22 f. zu Art. 221 ZPO ; Schmid, in: Oberhammer [Hrsg.], Kurzkommentar zur ZPO, 2010, N. 5 zu Art. 152 ZPO ). Die Vorinstanz war damit nicht gehalten, die vorliegend von der Beschwerdeführerin zur behaupteten Abgabe der Zustimmungserklärung durch die Beschwerdegegnerin angerufenen Beweismittel abzunehmen, um die Frage des übereinstimmenden Parteiwillens zu klären, nachdem diese im vorinstanzlichen Verfahren entgegen den Behauptungen der Beschwerdeführerin nicht in diesem Zusammenhang angeboten wurden. An den im angefochtenen Urteil angegebenen Stellen der Rechtsschriften der Beschwerdeführerin, an denen sich diese zur inhaltlichen Tragweite der Zustimmungserklärung äusserte (Klageschrift Rz. 41 f., Replik Rz. 22 f. und 56 f.), finden sich keine Beweisofferten zu diesem Thema. Bei dieser Sachlage verletzte die Vorinstanz kein Bundesrecht, wenn sie von einer Ermittlung des wirklichen Parteiwillens dazu absah und die Zustimmungserklärung nach dem Vertrauensprinzip auslegte. Fehl geht die Beschwerdeführerin auch, wenn sie der Vorinstanz in diesem Zusammenhang eine Verletzung der richterlichen Fragepflicht ( Art. 56 ZPO ) für den Fall vorwirft, dass diese der Meinung gewesen wäre, der Beweisantrag der Beschwerdeführerin wäre zu wenig substanziiert gewesen. Die Vorinstanz hielt nicht einen Beweisantrag "für zu wenig substanziiert", sondern stellte fest, dass zur Frage des wirklichen Parteiwillens betreffend der inhaltlichen Tragweite der Zustimmungserklärung eine Beweisofferte schlichtweg fehle. Dass die Vorschrift von Art. 56 ZPO gegenüber der anwaltlich vertretenen Beschwerdeführerin für diesen Fall greifen würde, macht diese nicht geltend.</w:t>
      </w:r>
    </w:p>
    <w:p>
      <w:r>
        <w:rPr>
          <w:b/>
        </w:rPr>
        <w:t>E. 4.5</w:t>
      </w:r>
    </w:p>
    <w:p>
      <w:r>
        <w:t>Die Vorinstanz stützte ihre Vertragsauslegung, die zum Ergebnis führte, dass sich die Beschwerdegegnerin mit der Zustimmungserklärung nicht verpflichtet habe, für eine Verletzung des nachvertraglichen Wettbewerbsverbots durch U.________ einzustehen bzw. zu haften, u.a. auf den Umstand, dass es sich bei der Beschwerdegegnerin im Zeitpunkt des Vertragsabschlusses nicht um die Konzernmuttergesellschaft, sondern eine untergeordnete Tochtergesellschaft gehandelt habe; es sei selten, dass eine Tochtergesellschaft vertraglich ausdrücklich die Verantwortung für neben- oder übergeordnete Konzernmitglieder übernehme, da ihr im Gegensatz zur Muttergesellschaft die entsprechenden Einfluss- und Durchsetzungsmittel bei diesen fehlten. Die Beschwerdeführerin rügt die Beweiswürdigung, aufgrund der die Vorinstanz schloss, dass der Beschwerdegegnerin im Y.________-Konzern die Rolle einer Untergesellschaft ohne Führungs- und Weisungsbefugnisse gegenüber U.________ zukam bzw. zukommt, als willkürlich. Bei "willkürfreier Auslegung" ergebe sich, dass sämtliche Gesellschaften des Y.________-Konzerns in das nachvertragliche Wettbewerbsverbot einzubeziehen seien. Diese Rüge ist nicht hinreichend begründet, weshalb darauf nicht eingetreten werden kann:</w:t>
      </w:r>
    </w:p>
    <w:p>
      <w:r>
        <w:rPr>
          <w:b/>
        </w:rPr>
        <w:t>E. 4.5.1</w:t>
      </w:r>
    </w:p>
    <w:p>
      <w:r>
        <w:t>Nach den Feststellungen der Vorinstanz stützte die Beschwerdeführerin ihre Behauptung, die Beschwerdegegnerin bestimme die operative und strategische Führung aller Konzerngesellschaften, im vorinstanzlichen Verfahren auf den Umstand einer zeitweisen Doppelorganschaft zweier Verwaltungsratsmitglieder und auf den statutarischen Zweck der Beschwerdegegnerin, der gemäss Handelsregistereintrag wie folgt lautet: "Die Gesellschaft bezweckt als Dienstleistungsgesellschaft die technische und wirtschaftliche Überwachung von ihr nahestehenden Unternehmen. Die Gesellschaft ist ausschliesslich aktiv im Bereich konzerninterner Dienstleistung und Beratung für die strategische und operative Führung der gesamten R.________ Gruppe. Die Beratungsdienstleistungen umfassen insbesondere die Bereiche Marketing, Verkauf, Kommunikation, Finanzen und Personal. Nebst dieser konzerninternen Dienstleistung kann die Gesellschaft keine anderen kommerziellen Geschäfte tätigen. [Hervorhebung durch das Gericht]" Die Vorinstanz erkannte, die Beschwerdeführerin könne aus diesem Zweck nichts zu ihren Gunsten ableiten; nach den Ausführungen der Beschwerdegegnerin sei davon auszugehen, dass die U.________ nicht zur selben Subholding (innerhalb des Y.________-Konzerns) gehört wie die Beschwerdegegnerin. Sie stellte im Weiteren fest, die Beschwerdeführerin stütze ihre Behauptung über die Stellung der Beschwerdegegnerin im Konzern auf eine verkürzte Wiedergabe von deren statutarischem Zweck, indem sie ausführe, die Beschwerdegegnerin lasse es zu bzw. trage infolge ihrer Zweckbestimmung der operativen und strategischen Führung sämtlicher R.________- bzw. Y.________-Konzerngesellschaften die Verantwortung dafür, dass diese Backwaren durch U.________ [...] unter der Marke "W.________" produziert würden.</w:t>
      </w:r>
    </w:p>
    <w:p>
      <w:r>
        <w:rPr>
          <w:b/>
        </w:rPr>
        <w:t>E. 4.5.2</w:t>
      </w:r>
    </w:p>
    <w:p>
      <w:r>
        <w:t>Die Beschwerdeführerin rügt es sinngemäss als aktenwidrig, dass sie den Zweck der Beschwerdegegnerin verkürzt wiedergegeben habe. Sie legt aber nicht dar und es ist auch nicht ersichtlich, inwiefern die Korrektur der betreffenden Feststellung für den Ausgang des Verfahrens entscheidend sein soll (Erwägung 2 vorne), weshalb auf diese Rüge nicht einzutreten ist. Die Vorinstanz stützte ihre Vertragsauslegung bzw. ihren Schluss, die Beschwerdegegnerin sei im Konzern eine blosse Untergesellschaft ohne Weisungsbefugnisse denn auch nicht auf eine verkürzte Wiedergabe des statutarischen Zwecks. Dass sie unter Zugrundelegung einer unzutreffenden Zweckumschreibung zu diesem Schluss gekommen wäre, macht die Beschwerdeführerin nicht geltend. Im Weiteren legt sie nicht, jedenfalls nicht mit rechtsgenüglicher Begründung dar, weshalb die Vorinstanz in Willkür verfallen sein soll, wenn sie aus der statutarischen Zweckumschreibung der Beschwerdegegnerin nicht schloss, diese habe im Zeitpunkt des Vertragsabschlusses innerhalb des Konzerns eine Führungs- und Weisungsbefugnis gehabt. Wenn sie geltend macht, die Beschwerdegegnerin sei innerhalb des Konzerns für die Verwaltung des Know-hows bezüglich der fraglichen Backwaren verantwortlich gewesen und habe gemäss Zweckartikel das entsprechende Know-how technisch und wirtschaftlich überwacht und Kraft dieser Stellung innerhalb des Konzerns über Leitungsmacht verfügt, argumentiert sie rein appellatorisch und weitgehend unter unzulässiger Ergänzung des von der Vorinstanz festgestellten Sachverhalts (Erwägung 2), weshalb sie damit nicht zu hören ist.</w:t>
      </w:r>
    </w:p>
    <w:p>
      <w:r>
        <w:rPr>
          <w:b/>
        </w:rPr>
        <w:t>E. 4.5.3</w:t>
      </w:r>
    </w:p>
    <w:p>
      <w:r>
        <w:t>Demnach bleibt es bei der vorinstanzlichen Feststellung, dass es sich bei der Beschwerdegegnerin im Zeitpunkt des Vertragsabschlusses um eine Untergesellschaft ohne Führungs- und Weisungsbefugnisse gegenüber T.________ (bzw. später U.________) handelte.</w:t>
      </w:r>
    </w:p>
    <w:p>
      <w:r>
        <w:rPr>
          <w:b/>
        </w:rPr>
        <w:t>E. 4.6</w:t>
      </w:r>
    </w:p>
    <w:p>
      <w:r>
        <w:t>Inwiefern die Vorinstanz Bundesrecht verletzt haben soll, indem sie in Anwendung des Vertrauensprinzips u.a. unter Zugrundelegung dieses Umstands schloss, die Beschwerdegegnerin habe sich mit der Zustimmungserklärung nicht verpflichtet, für eine Verletzung des nachvertraglichen Wettbewerbsverbots durch U.________ einzustehen bzw. zu haften, legt die Beschwerdeführerin nicht, jedenfalls nicht rechtsgenügend dar.</w:t>
      </w:r>
    </w:p>
    <w:p>
      <w:r>
        <w:rPr>
          <w:b/>
        </w:rPr>
        <w:t>E. 5</w:t>
      </w:r>
    </w:p>
    <w:p>
      <w:r>
        <w:t>Schloss die Vorinstanz damit zutreffend, es bestehe keine Verpflichtung der Beschwerdegegnerin, gegenüber der Beschwerdeführerin für eine Verletzung des nachvertraglichen Wettbewerbsverbots durch U.________ einzustehen bzw. zu haften, wies sie die Klage zu Recht ab, soweit sie darauf eintrat. Dabei brauchte sie die von der Beschwerdeführerin aufgeworfene Frage eines Übernahmeverschuldens, weil sich die Beschwerdegegnerin zu einer Leistung verpflichtet hätte, die sie subjektiv nicht erfüllen kann, nicht zu prüfen. Mangels entsprechender Verpflichtung der Beschwerdeführerin entfällt sodann von vornherein ein Anspruch auf Rechnungslegung und Schadenersatz oder Gewinnherausgabe. Es erübrigt sich deshalb, auf die betreffenden Erwägungen der Vorinstanz und die dagegen erhobenen Rügen der Beschwerdeführerin einzugehen.</w:t>
      </w:r>
    </w:p>
    <w:p>
      <w:r>
        <w:rPr>
          <w:b/>
        </w:rPr>
        <w:t>E. 6</w:t>
      </w:r>
    </w:p>
    <w:p>
      <w:r>
        <w:t>Die Beschwerde ist nach dem Ausgeführten abzuweisen, soweit darauf eingetreten werden kann. Dem Ausgang des Verfahrens entsprechend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