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56/2008 vom 8. Oktober 2009</w:t>
      </w:r>
    </w:p>
    <w:p>
      <w:r>
        <w:t>Bundesgericht, 2009-10-08, DE</w:t>
      </w:r>
    </w:p>
    <w:p>
      <w:r>
        <w:rPr>
          <w:b/>
        </w:rPr>
        <w:t xml:space="preserve">Quelle: </w:t>
      </w:r>
      <w:r>
        <w:t>https://mcp.opencaselaw.ch/entscheid/bger_4A_56_2008</w:t>
      </w:r>
    </w:p>
    <w:p>
      <w:r>
        <w:t>FR: TF 4A 56/2008 du 8 octobre 2009</w:t>
      </w:r>
    </w:p>
    <w:p>
      <w:r>
        <w:t>IT: TF 4A 56/2008 del 8 ottobre 2009</w:t>
      </w:r>
    </w:p>
    <w:p>
      <w:pPr>
        <w:pStyle w:val="Heading2"/>
      </w:pPr>
      <w:r>
        <w:t>Regeste</w:t>
      </w:r>
    </w:p>
    <w:p>
      <w:r>
        <w:t>Verpfändungsvertrag | Vertragsrecht</w:t>
      </w:r>
    </w:p>
    <w:p>
      <w:pPr>
        <w:pStyle w:val="Heading2"/>
      </w:pPr>
      <w:r>
        <w:t>Erwägungen</w:t>
      </w:r>
    </w:p>
    <w:p>
      <w:r>
        <w:rPr>
          <w:b/>
        </w:rPr>
        <w:t>E. 1</w:t>
      </w:r>
    </w:p>
    <w:p>
      <w:r>
        <w:t>In der vorliegenden Zivilsache mit einem Streitwert über Fr. 30'000.-- ( Art. 74 Abs. 1 lit. b BGG ) ist die Beschwerde in Zivilsachen gegeben, weshalb die von der Beschwerdeführerin ebenfalls erhobene subsidiäre Verfassungsbeschwerde unzulässig ist ( Art. 113 BGG ). Darauf ist nicht einzutreten.</w:t>
      </w:r>
    </w:p>
    <w:p>
      <w:r>
        <w:rPr>
          <w:b/>
        </w:rPr>
        <w:t>E. 2</w:t>
      </w:r>
    </w:p>
    <w:p>
      <w:r>
        <w:t>Die Beschwerdeführerin hat sowohl das Urteil des Handelsgerichts vom 14. Dezember 2007 als auch den Zirkulationsbeschluss des Kassationsgerichts vom 12. März 2009 beim Bundesgericht angefochten. Dies ist grundsätzlich zulässig und die Beschwerdefrist ist auch bezüglich der Mitanfechtung des handelsgerichtlichen Urteils in der Beschwerde vom 11. Mai 2009 gewahrt ( Art. 100 Abs. 6 BGG ). Die Beschwerdeführerin war innert der Frist nach dieser Bestimmung berechtigt, die gegen das Urteil des Handelsgerichts bereits sicherheitshalber eingelegte Beschwerde in Zivilsachen zu ergänzen.</w:t>
      </w:r>
    </w:p>
    <w:p>
      <w:r>
        <w:rPr>
          <w:b/>
        </w:rPr>
        <w:t>E. 3</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 stehen ( BGE 134 III 524 E. 1.3 S. 527). Auf Rügen, die mit kantonaler Nichtigkeitsbeschwerde einer weiteren kantonalen Instanz hätten vorgetragen werden können, ist mangels Letztinstanzlichkeit nicht einzutreten. Gegen das angefochtene Urteil des Handelsgerichts war die kantonale Nichtigkeitsbeschwerde an das Kassationsgericht des Kantons Zürich nach § 281 des Gesetzes über den Zivilprozess vom 13. Juni 1976 (ZPO/ZH; LS 271) zulässig, weshalb es insoweit nicht kantonal letztinstanzlich ist, als es vom Kassationsgericht hätte überprüft werden können.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gemäss § 285 Abs. 2 ZPO /ZH stets zulässig ist, wenn eine Verletzung von Art. 8, 9, 29 oder 30 BV oder von Art. 6 EMRK geltend gemacht wird. Die Beschwerdeführerin kann das Urteil des Handelsgerichts somit nur insoweit anfechten, als im Rahmen der Beschwerde in Zivilsachen zulässige Rügen dem Kassationsgericht nicht unterbreitet werden konnten (vgl. BGE 134 III 92 E. 1.1 S. 93). Die Beschwerdeführerin wirft dem Handelsgericht jedoch wiederholt willkürliche tatsächliche Feststellungen, eine Verletzung der Begründungspflicht bzw. des rechtlichen Gehörs ( Art. 29 Abs. 2 BV ) oder des Willkürverbots ( Art. 9 BV ) vor, ohne dass die Ausschöpfung des Instanzenzugs ersichtlich wäre. Auf diese Rügen gegen das Urteil des Handelsgerichts kann mangels Letztinstanzlichkeit nicht eingetreten werden.</w:t>
      </w:r>
    </w:p>
    <w:p>
      <w:r>
        <w:rPr>
          <w:b/>
        </w:rPr>
        <w:t>E. 4</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Auf rein appellatorische Kritik am angefochtenen Entscheid tritt das Bundesgericht nicht ein ( BGE 134 V 138 E. 2.1; 133 II 396 E. 3.1. S. 399). Ferner hat die Begründung in der Beschwerdeschrift selbst zu erfolgen. Der blosse Verweis auf kantonale Akten ist unzulässig ( BGE 126 III 198 E. 1d S. 201; 116 II 92 E. 2 S. 93 f.; 110 II 74 E. I.1 S. 78).</w:t>
      </w:r>
    </w:p>
    <w:p>
      <w:r>
        <w:rPr>
          <w:b/>
        </w:rPr>
        <w:t>E. 5.1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Die Beschwerdeführerin plädiert in ihren beiden Beschwerdeschriften grösstenteils zum Sachverhalt. Sie übergeht dabei die Bindung des Bundesgerichts an den vorinstanzlich festgestellten Sachverhalt. Auf ihre ausführliche Sachverhaltsdarstellung in der Beschwerde vom 1. Februar 2008 ist deshalb nicht abzustellen. Ins Leere zielen daher auch ihre Verweise auf diese Sachverhaltsdarstellung in der weiteren Begründung ihrer Beschwerden. Soweit sie Rügen offensichtlich unrichtiger Sachverhaltsfeststellungen direkt gegen das Urteil des Handelsgerichts erhebt, wie vor allem in der Beschwerde vom 1. Februar 2008, aber auch in derjenigen vom 11. Mai 2009, kann darauf mangels Letztinstanzlichkeit nicht eingetreten werden (vgl. Erwägung 3).</w:t>
      </w:r>
    </w:p>
    <w:p>
      <w:r>
        <w:rPr>
          <w:b/>
        </w:rPr>
        <w:t>E. 5.2</w:t>
      </w:r>
    </w:p>
    <w:p>
      <w:r>
        <w:t>Mit Sachverhaltsrügen kann sie nur gehört werden, soweit sie solche gegen den diesbezüglich letztinstanzlichen Zirkulationsbeschluss des Kassationsgerichts erhebt und sich mit den Erwägungen des Kassationsgerichts hinlänglich auseinandersetzt (vgl. BGE 125 I 492 E. 1 a/cc S. 495; Urteil 4A_414/2008 vom 3. Februar 2009 E. 1.2). Die Beschwerdeführerin unterbreitet dem Bundesgericht jedoch über weite Strecken appellatorische Kritik und beanstandet in wenig übersichtlichen Ausführungen "die Auffassung der Vorinstanzen" bzw. "den Schluss der Vorinstanzen" als "unhaltbar", ohne in rechtsgenüglicher Weise aufzuzeigen, worin diese Unhaltbarkeit bestehen soll und namentlich, inwiefern das Kassationsgericht bezüglich konkret kritisierter Feststellungen des Handelsgerichts in willkürlicher Weise einen Nichtigkeitsgrund verneint haben soll. Auf die weitgehend appellatorischen Ausführungen der Beschwerdeführerin kann daher grösstenteils nicht eingetreten werden. Anzufügen ist lediglich was folgt:</w:t>
      </w:r>
    </w:p>
    <w:p>
      <w:r>
        <w:rPr>
          <w:b/>
        </w:rPr>
        <w:t>E. 5.2.1</w:t>
      </w:r>
    </w:p>
    <w:p>
      <w:r>
        <w:t>Die Beschwerdeführerin richtete sich vor dem Kassationsgericht gegen die handelsgerichtliche Schlussfolgerung, wonach kein Zweifel bestehe, dass die Rückführung des strittigen Kredits und die damit verbundene Ablösung des von der Beschwerdegegnerin zur Verfügung gestellten Drittpfandes an den Verkauf der Filmbibliothek gekoppelt gewesen sei. Das Kassationsgericht verneinte das Vorliegen von Nichtigkeitsgründen, weil die Beschwerdeführerin sich mit den diesbezüglichen Erwägungen des Handelsgerichts nicht genügend substantiiert auseinandergesetzt habe. Die Beschwerdeführerin kritisiert dies als offensichtlich unhaltbar und aktenwidrig sowie damit auch den Anspruch auf rechtliches Gehör und Zulassung zum Beweis verletzend. Zur Begründung verweist sie auf ihre Ausführungen in der kantonalen Nichtigkeitsbeschwerde. Diese Ausführungen hat das Kassationsgericht jedoch beachtet, wie aus den Hinweisen in Erwägung 6.2 des Zirkulationsbeschlusses hervorgeht. Die Beschwerdeführerin legt nicht näher dar, inwiefern sich aufgrund ihrer Ausführungen in der kantonalen Nichtigkeitsbeschwerde die Beurteilung des Kassationsgerichts, dass sich die Beschwerdeführerin mit den handelsgerichtlichen Erwägungen zur Koppelung der Kreditrückzahlung/Pfandablösung an den Verkauf der Filmbibliothek nicht genügend substantiiert auseinandergesetzt habe, als unhaltbar erweisen sollte. Sie kann Letzteres auch nicht nachholen, indem sie nunmehr in der Beschwerde an das Bundesgericht die handelsgerichtlichen Schlussfolgerungen zur Koppelung der Kreditrückzahlung/Pfandablösung an den Verkauf der Filmbibliothek als unhaltbar darzulegen versucht. Wie ausgeführt (Erwägung 5.1), missachtet sie mit diesen direkt gegen die handelsgerichtlichen Feststellungen gerichteten Rügen den Instanzenzug und kann daher nicht gehört werden.</w:t>
      </w:r>
    </w:p>
    <w:p>
      <w:r>
        <w:rPr>
          <w:b/>
        </w:rPr>
        <w:t>E. 5.2.2</w:t>
      </w:r>
    </w:p>
    <w:p>
      <w:r>
        <w:t>Zur von der Beschwerdeführerin beanstandeten Feststellung des Handelsgerichts, vor diesem Hintergrund (Unsicherheit der Rückzahlung des von der Beschwerdeführerin an D.________ ausgerichteten Kredits) sei verständlich, dass die Fragen der Werthaltigkeit und der Unbelastetheit der Filmbibliothek für beide Parteien eine zentrale Rolle gespielt hätten, führte das Kassationsgericht an, diese Erwägung basiere auf der allgemeinen Lebenserfahrung und sei deshalb im Kassationsverfahren nicht zu überprüfen. Ob diese Annahme des Kassationsgerichts zutreffend ist, was die Beschwerdeführerin verneint, kann offen bleiben. Denn zum einen fügte das Kassationsgericht in einer Eventualbegründung an, dass sich die Beschwerdeführerin mit der Begründung des Handelsgerichts nicht genügend substantiiert auseinandergesetzt habe, weshalb sie ohnehin keinen Nichtigkeitsgrund darzutun vermöchte. Gegen diese Eventualbegründung bringt die Beschwerdeführerin nichts vor. Zum andern legt die Beschwerdeführerin mit keinem Wort dar, inwiefern eine Bundesrechtswidrigkeit vorliegen sollte, wenn das Handelsgericht jene Folgerung in der Tat gestützt auf die allgemeine Lebenserfahrung gezogen hätte.</w:t>
      </w:r>
    </w:p>
    <w:p>
      <w:r>
        <w:rPr>
          <w:b/>
        </w:rPr>
        <w:t>E. 5.2.3</w:t>
      </w:r>
    </w:p>
    <w:p>
      <w:r>
        <w:t>Mit dem Schreiben der Beschwerdeführerin an die Beschwerdegegnerin vom 29. Dezember 1998 befasste sich das Kassationsgericht in E. 7.1 und 7.2, konnte aber auch in diesem Zusammenhang keinen Nichtigkeitsgrund erkennen. Was die Beschwerdeführerin dagegen vorbringt, erschöpft sich weitgehend in appellatorischer Kritik. Mit ihren Darlegungen zur Vertragsauslegung nach dem Vertrauensprinzip verkennt sie zudem, dass es nicht um eine solche Auslegung des besagten Schreibens geht, sondern um Beweiswürdigung. Für das Handelsgericht ging "aus den Akten klar hervor", dass im Zeitpunkt des Abschlusses des Pfandvertrags vom 4. November 1998 beide Parteien davon ausgegangen sind, dass die Rückzahlung des Kredits aus dem Verkauf der Filmbibliothek erfolgen sollte und demnach auch die Ablösung der Drittpfänder einzig vom Gelingen dieses Geschäfts abhing. Dies habe die Beschwerdeführerin in ihrem Schreiben an die Beschwerdegegnerin vom 29. Dezember 1998 ausdrücklich bestätigt. Das Handelsgericht zog mithin Rückschlüsse aus dem besagten Schreiben in dem Sinn, als es darin eine Bestätigung dafür erblickte, wovon die Parteien beim Abschluss des Pfandvertrags übereinstimmend ausgegangen waren, nämlich, dass die Rückzahlung des Kredits aus dem Verkauf der Filmbibliothek erfolgen sollte und demnach auch die Ablösung der Drittpfänder einzig vom Gelingen dieses Geschäfts abhing. Nach der Beurteilung des Kassationsgerichts ist diese Würdigung des Handelsgerichts weder willkürlich noch aktenwidrig. Die Beschwerdeführerin zeigt nicht rechtsgenüglich auf, inwiefern die Beurteilung des Kassationsgerichts unhaltbar sein soll. Sie unterbreitet dem Bundesgericht lediglich ihre eigene Interpretation des besagten Schreibens vom 29. Dezember 1998, womit aber keine Willkür dargetan ist, zumal der Wortlaut des besagten Schreibens klar für die Beurteilung der Vorinstanz spricht, indem davon die Rede ist, dass "die Rückführung dieses Kredits und somit die Freistellung der Gesellschaften aus ihrer Pfandverpflichtung erwartet wird durch/aus: 1. Zuflüsse an Herrn D.________ aus dem Verkauf eines Filmpakets durch W.________ Ltd. an Y.________ Gmbh und/oder ...". Entgegen der Rüge der Beschwerdeführerin hat das Kassationsgericht auch nicht die Ausführungen der Beschwerdeführerin in Rz. 70 und 71 ff. ihrer Nichtigkeitsbeschwerde übergangen, sondern vielmehr berücksichtigt, wie aus den Erwägungen 7.1 und 7. 2 hervorgeht.</w:t>
      </w:r>
    </w:p>
    <w:p>
      <w:r>
        <w:rPr>
          <w:b/>
        </w:rPr>
        <w:t>E. 5.2.4</w:t>
      </w:r>
    </w:p>
    <w:p>
      <w:r>
        <w:t>Das Kassationsgericht erwog, das Handelsgericht habe die Pfanderrichtung nicht ausschliesslich mit dem Gelingen des Y.________-Projekts in Zusammenhang gebracht, sondern generell mit einem Verkauf der Filmbibliothek. Die Beschwerdeführerin erachtet auch diese kassationsgerichtliche Feststellung als unhaltbar. Die von ihr zitierten Passagen des handelsgerichtlichen Urteils belegen jedoch keine Unhaltbarkeit, sondern im Gegenteil die Richtigkeit der Auffassung des Kassationsgerichts. Das Handelsgericht hielt fest, dass beiden Parteien klar gewesen sei, dass die Rückzahlung des Kredits aus dem Verkauf der Filmbibliothek erfolgen sollte und demnach auch die Ablösung der Drittpfänder einzig vom Gelingen dieses Geschäfts abhing. Bei dieser Formulierung konnte mit "diesem Geschäft" nur generell eine Verwertung der Filmbibliothek gemeint sein, nicht einzig die Verwertung der Filmbibliothek in Form des Y.________-Projekts. Dieses bildete nur eine von mehreren Möglichkeiten zur Verwertung der Filmbibliothek. Es wurde im schon mehrfach erwähnten und vom Handelsgericht als Bestätigung für seine Auffassung angeführten Schreiben vom 29. Dezember 1998 denn auch nur als eine unter anderen Möglichkeiten zur Verwertung der Filmbibliothek genannt.</w:t>
      </w:r>
    </w:p>
    <w:p>
      <w:r>
        <w:rPr>
          <w:b/>
        </w:rPr>
        <w:t>E. 5.2.5</w:t>
      </w:r>
    </w:p>
    <w:p>
      <w:r>
        <w:t>Was die Beschwerdeführerin unter den Titeln "Werthaltigkeit der Filmbibliothek" und "Unbelastetheit der Filmbibliothek" vorbringt, lässt keine Willkür erkennen. Namentlich trifft es nicht zu, dass das Kassationsgericht die handelsgerichtliche Feststellung übersehen hätte, wonach dem Wert und der Frage der Belastung der Filmbibliothek grosse Bedeutung zugemessen worden sei. Wie sich aus dessen Erwägung 7.4.1 ergibt, hat es diese Feststellung vielmehr berücksichtigt.</w:t>
      </w:r>
    </w:p>
    <w:p>
      <w:r>
        <w:rPr>
          <w:b/>
        </w:rPr>
        <w:t>E. 5.2.6</w:t>
      </w:r>
    </w:p>
    <w:p>
      <w:r>
        <w:t>Die Beschwerdeführerin machte beim Kassationsgericht geltend, das handelsgerichtliche Urteil leide an einem offensichtlichen Widerspruch, weil es einerseits auf der Annahme basiere, dass der Pfandvertrag zwischen den Parteien ausschliesslich mit dem Gelingen des Y.________-Projekts in Zusammenhang gestanden habe, andererseits aber nicht davon ausgegangen werden könne, dass die Y.________-Filmbibliothek von einer Verfügungssperre hätte betroffen sein können. Das Kassationsgericht verwarf diesen Einwand bereits deshalb, weil das Handelsgericht entgegen der Behauptung der Beschwerdeführerin die Pfanderrichtung nicht ausschliesslich mit dem Gelingen des Y.________-Projekts in Zusammenhang brachte, sondern generell mit einem Verkauf der Filmbibliothek. Diese Auffassung des Kassationsgerichts hat der bundesgerichtlichen Überprüfung standgehalten (Erwägung 5.2.4). Die Beschwerdeführerin bringt gegen die erwähnte Hauptbegründung des Kassationsgerichts nichts vor. Sie wendet sich unter dem Titel "Verfügungssperre" nur gegen die Eventualbegründung des Kassationsgerichts, wonach die Beschwerdeführerin im Übrigen auch bei Zugrundelegung deren Annahmen keinen Nichtigkeitsgrund nachzuweisen vermöchte, weil sie an der massgebenden Stelle ihrer Beschwerdeschrift nicht bzw. nicht genügend substantiiert vorgebracht habe, dass und an welcher Aktenstelle sie vor dem Handelsgericht geltend gemacht habe, das im Y.________-Projekt involvierte Filmpaket sei nicht von der Verfügungssperre betroffen gewesen. Es erübrigt sich, auf die von der Beschwerdeführerin gegen die Eventualbegründung vorgebrachten Einwände einzugehen, da die Hauptbegründung des Kassationsgerichts unangefochten standhält.</w:t>
      </w:r>
    </w:p>
    <w:p>
      <w:r>
        <w:rPr>
          <w:b/>
        </w:rPr>
        <w:t>E. 5.3</w:t>
      </w:r>
    </w:p>
    <w:p>
      <w:r>
        <w:t>Zusammenfassend erweisen sich die Rügen der Beschwerdeführerin zum Sachverhalt als unbegründet, soweit überhaupt darauf eingetreten werden konnte. Damit bleibt es beim vorinstanzlich verbindlich festgestellten Sachverhalt.</w:t>
      </w:r>
    </w:p>
    <w:p>
      <w:r>
        <w:rPr>
          <w:b/>
        </w:rPr>
        <w:t>E. 6</w:t>
      </w:r>
    </w:p>
    <w:p>
      <w:r>
        <w:t>In der Beschwerdeschrift vom 1. Februar 2008 rügt die Beschwerdeführerin eine Verletzung von Art. 8 ZGB sowie Art. 9 und Art. 29 Abs. 2 BV . Auf die Rügen der Verletzung des Willkürverbots und rechtlichen Gehörs kann nicht eingetreten werden, da es dem angefochtenen Urteil des Handelsgerichts insoweit an der Letztinstanzlichkeit mangelt (vgl. Erwägung 3). Die Ausführungen zur Verletzung von Art. 8 ZGB , wonach das Handelsgericht das Recht der Beschwerdeführerin zum Gegenbeweis abgeschnitten sowie den Standpunkt der Beschwerdeführerin und deren Beweisanträge nicht in seine Überlegungen miteinbezogen habe, bleiben zu allgemein, als dass auf diese Rüge eingetreten werden könnte. Namentlich erläutert die Beschwerdeführerin nicht im Einzelnen und damit nicht rechtsgenüglich, inwiefern die von ihr angeführten und vom Handelsgericht angeblich nicht beachteten Behauptungen und Beweismittel rechtserheblich sein sollen, sondern folgert generell, dass das Handelsgericht bei Beachtung derselben nicht auf einen wesentlichen Irrtum im Sinne von Art. 24 Abs. 1 Ziff. 4 OR hätte schliessen können. Das genügt nicht.</w:t>
      </w:r>
    </w:p>
    <w:p>
      <w:r>
        <w:rPr>
          <w:b/>
        </w:rPr>
        <w:t>E. 7</w:t>
      </w:r>
    </w:p>
    <w:p>
      <w:r>
        <w:t>In rechtlicher Hinsicht rügt die Beschwerdeführerin eine Verletzung von Art. 24 Abs. 1 Ziff. 4 OR .</w:t>
      </w:r>
    </w:p>
    <w:p>
      <w:r>
        <w:rPr>
          <w:b/>
        </w:rPr>
        <w:t>E. 7.1</w:t>
      </w:r>
    </w:p>
    <w:p>
      <w:r>
        <w:t>Ein Vertrag ist für jene Partei unverbindlich, die sich beim Abschluss in einem wesentlichen Irrtum befunden hat ( Art. 23 OR ). Als wesentlich gilt ein Irrtum namentlich, wenn er einen bestimmten Sachverhalt betrifft, der vom Irrenden nach Treu und Glauben im Geschäftsverkehr als eine notwendige Grundlage des Vertrags betrachtet werden konnte ( Art. 24 Abs. 1 Ziff. 4 OR : Grundlagenirrtum). Bei der Beurteilung des Grundlagenirrtums ist davon auszugehen, dass Feststellungen über die Umstände des Vertragsschlusses sowie das Wissen und Wollen der Vertragsschliessenden Tatfragen beschlagen ( BGE 123 III 165 E. 3a S. 168; Urteil 4C.34/2000 vom 24. April 2001 E. 3b mit Hinweisen). Das kantonale Gericht beurteilt namentlich grundsätzlich abschliessend, ob und inwiefern sich eine Partei beim Vertragsschluss in einem Irrtum befand ( BGE 118 II 58 E. 3a S. 62 mit Hinweisen). Auf einen Grundlagenirrtum im Sinne von Art. 24 Abs. 1 Ziff. 4 OR kann sich der Vertragsschliessende berufen, der sich über einen bestimmten Sachverhalt geirrt hat, der für ihn notwendige Vertragsgrundlage war und den er nach Treu und Glauben im Geschäftsverkehr als eine notwendige Grundlage des Vertrags betrachten durfte ( BGE 132 III 737 E. 1.3 S. 741; 123 III 200 E. 2 S. 202; 118 II 58 E. 3b S. 62, 297 E. 2).</w:t>
      </w:r>
    </w:p>
    <w:p>
      <w:r>
        <w:rPr>
          <w:b/>
        </w:rPr>
        <w:t>E. 7.2</w:t>
      </w:r>
    </w:p>
    <w:p>
      <w:r>
        <w:t>Die Beschwerdeführerin bringt vor, in einem Drittpfandverhältnis gehe es nicht an, den Umstand, ob und gegebenenfalls mit welchen Mitteln der Kreditschuldner in der Lage sein könnte, den Kredit zurückzuzahlen, zum Gegenstand eines Grundlagenirrtums seitens des Drittpfandgebers zu machen. Andernfalls würde das Risiko eines möglichen Kreditausfalls immer auf den Kredit- und Pfandgläubiger überwälzt. Sie beruft sich auf BGE 108 II 410 , in dessen Erwägung 1a Folgendes ausgeführt wird: "Wer jemandem ein Pfandrecht einräumt, verschafft ihm damit das Vorzugsrecht, den Pfandgegenstand zur Deckung einer bestimmten Forderung verwerten zu lassen, sofern die Forderung nicht getilgt wird (vgl. für das Grundpfand Art. 816 Abs. 1 ZGB ). Diesem Zweck des Pfandrechts würde es in aller Regel widersprechen, die Einschätzung des Risikos einer Pfandverwertung durch den Pfandgeber als notwendige Vertragsgrundlage im Sinne von Art. 24 Abs. 1 Ziff. 4 OR gelten zu lassen. Das Wesen des Pfandrechts lässt es grundsätzlich nicht zu, einen Irrtum des Drittpfandgebers über die finanzielle Lage des Schuldners nach Treu und Glauben im Geschäftsverkehr als Grundlagenirrtum anzuerkennen. Wer eine eigene Sache für eine fremde Schuld zu Pfand gibt, muss vielmehr ungeachtet dessen, wie er die Kreditwürdigkeit des Schuldners eingeschätzt hat, die Verwertung dieser Sache dulden, wenn sich nachträglich herausstellt, dass der Schuldner bereits im Zeitpunkt der Pfandbestellung überschuldet war. Bereits aus diesem Grund muss der Berufung der Klägerin auf Irrtum der Erfolg versagt bleiben." Die Berufung auf BGE 108 II 410 hilft der Beschwerdeführerin nicht, da die jenem Entscheid zugrunde liegende Sachlage nicht mit derjenigen des vorliegend streitigen Falles übereinstimmt. Nach den verbindlichen Feststellungen der Vorinstanz irrte sich die Beschwerdegegnerin nicht über die finanzielle Lage des Kreditschuldners, sondern liegt eine besondere Konstellation aufgrund des von den Parteien verfolgten W.________-Geschäfts vor: Der Irrtum der Beschwerdegegnerin betraf nach den Feststellungen der Vorinstanz die Verfügungsberechtigung der W.________ Limited über die Filmbibliothek. Wie sich später herausstellte, konnte die W.________ Limited nicht frei über die Filmbibliothek verfügen, vielmehr war diese (schon bei der Pfandbestellung) mit Rechten Dritter belastet und mit einer gerichtlichen Verfügungssperre belegt. Die Beschwerdegegnerin habe - so die Beurteilung der Vorinstanz - die Verwertbarkeit der Filmbibliothek bei objektiver Betrachtung als notwendige Grundlage des Pfandvertrags betrachten dürfen. Die Filmbibliothek habe im Verhältnis zwischen den Parteien eine zentrale Rolle gespielt. Die Vorbereitung des Verkaufs der Filmbibliothek der W.________ Limited sei der alleinige Grund für die Kreditgewährung gewesen und die Rückzahlung des Kredits sollte aus dem Verkaufserlös der Filmbibliothek erfolgen, womit auch die Ablösung des Drittpfandes einzig davon abhing. Die Verfügungsberechtigung der W.________ Limited über die Filmbibliothek sei für beide Parteien nach Treu und Glauben im Geschäftsverkehr die notwendige Grundlage des W.________-Geschäfts und des damit im Zusammenhang stehenden Drittpfandes gewesen. Dieser Beurteilung ist beizupflichten, und es ist keine Verletzung von Art. 24 Abs. 1 Ziff. 4 OR dargetan.</w:t>
      </w:r>
    </w:p>
    <w:p>
      <w:r>
        <w:rPr>
          <w:b/>
        </w:rPr>
        <w:t>E. 7.3</w:t>
      </w:r>
    </w:p>
    <w:p>
      <w:r>
        <w:t>Entgegen der Behauptung der Beschwerdeführerin hat sich die Beschwerdegegnerin nach den verbindlichen Feststellungen der Vorinstanz nicht über einen künftigen Sachverhalt geirrt. Die Ausführungen und die Kritik der Beschwerdeführerin betreffend Irrtum über einen künftigen Sachverhalt stossen daher ins Leere.</w:t>
      </w:r>
    </w:p>
    <w:p>
      <w:r>
        <w:rPr>
          <w:b/>
        </w:rPr>
        <w:t>E. 8</w:t>
      </w:r>
    </w:p>
    <w:p>
      <w:r>
        <w:t>Die Beschwerdeführerin bestreitet, dass die Beschwerdegegnerin die Jahresfrist nach Art. 31 OR eingehalten hat, indem sie sich mit den Schreiben vom 16. März 2001 und 18. Juni 2001 auf den Grundlagenirrtum berufen hat. Laut der Beschwerdeführerin erfolgte diese Erklärung verspätet, weil die Beschwerdegegnerin schon seit April 1999 von der Auseinandersetzung mit der Z.________ gewusst habe. Das Handelsgericht erwog dazu, die Beschwerdeführerin habe keine substantiierten Behauptungen vorgetragen, dass die Beschwerdegegnerin den Willensmangel schon vor dem 16. März 2000 bzw. 18. Juni 2000 entdeckt und mit der dafür nötigen Tragweite und Gewissheit erfasst habe. Die Beschwerdeführerin rügte beim Kassationsgericht, dass das Handelsgericht ausschliesslich auf ihre Vorbringen in der Klageantwort, nicht aber auf diejenigen in der Duplik abgestellt habe. Damit habe es ihren Anspruch auf rechtliches Gehör verletzt und sei von offensichtlich unrichtigen tatsächlichen Annahmen ausgegangen. Das Kassationsgericht verwarf diese Rügen mit eingehender Begründung und zeigte namentlich auf, dass auch die von der Beschwerdeführerin angerufenen Ausführungen in der Duplik keine substantiierten Behauptungen beinhalteten, wie sie das Handelsgericht verlangte. In der Beschwerdeschrift vom 1. Februar 2008 trägt die Beschwerdeführerin dem Bundesgericht zu diesem Thema weitgehend das Gleiche vor, wie sie mit der kantonalen Nichtigkeitsbeschwerde beim Kassationsgericht geltend gemacht hat. Auf diese Rügen kann mangels Letztinstanzlichkeit nicht eingetreten werden (vgl. Erwägung 3). In der Beschwerdeschrift vom 11. Mai 2009 wirft die Beschwerdeführerin dem Kassationsgericht vor, es habe die in der Nichtigkeitsbeschwerde vorgebrachte Tatsache unberücksichtigt gelassen, dass die Beschwerdeführerin am 17. Juni 1999 - (angeblich) mit Wissen der Beschwerdegegnerin - den Betrag von USD 2'425'000.-- zwecks Beilegung des Streits mit Z.________ an den amerikanischen Anwalt F.________ überwiesen habe. Damit habe das Kassationsgericht seinerseits den Gehörsanspruch verletzt und sei zum unhaltbaren Schluss gekommen, dass die Beschwerdeführerin nicht dargetan habe, dass das Handelsgericht wesentliche Vorbringen der Beschwerdeführerin im Hauptverfahren übersehen resp. nicht beachtet habe. Der Vorwurf ist unbegründet. Entgegen der anderslautenden Behauptung der Beschwerdeführerin hat das Kassationsgericht das Vorbringen in Rz. 45 i.V.m. Rz. 41 Lemma 6 der Nichtigkeitsbeschwerde, wo auf Rz. 101 f. und Rz. 108 der Duplikschrift verwiesen wird, durchaus berücksichtigt. Es erachtete dieses Vorbringen aber als unbehelflich, weil an besagter Stelle nur unspezifisch auf den Zeitraum nach dem 17. Juni 1999 Bezug genommen werde. Zudem sei diesem Vorbringen auch nichts bezüglich des genauen Wissens der Beschwerdegegnerin zu entnehmen. Diesen Erwägungen hält die Beschwerdeführerin nichts entgegen. Die Beschwerdeführerin vermag demnach mit ihren Vorbringen gegen die Annahme, dass die Beschwerdegegnerin die Jahresfrist nach Art. 31 OR eingehalten hat, nicht durchzudringen.</w:t>
      </w:r>
    </w:p>
    <w:p>
      <w:r>
        <w:rPr>
          <w:b/>
        </w:rPr>
        <w:t>E. 9</w:t>
      </w:r>
    </w:p>
    <w:p>
      <w:r>
        <w:t>Die Beschwerdeführerin ist der Auffassung, der Anspruch der Beschwerdegegnerin sei verjährt. Sie habe die Einrede der Verjährung vor dem Handelsgericht in Rz. 331 der Duplik erhoben. Dabei schade es nicht, dass sie die Verjährung in anderem Zusammenhang (Schadenersatzansprüche) geltend gemacht habe, zumal das Recht von Amtes wegen anzuwenden sei. Das Handelsgericht habe sich jedoch mit der Verjährungseinrede nicht auseinandergesetzt und damit ihren Gehörsanspruch verletzt. Das Kassationsgericht habe die entsprechende Rüge nicht geprüft und damit seinerseits den Gehörsanspruch verletzt. Willkürlich sei auch, dass das Kassationsgericht das Vorliegen aktenwidriger tatsächlicher Annahmen verneint habe mit der Begründung, dem Urteil des Handelsgerichts seien keine Erwägungen zur Verjährungsfrage zu entnehmen.</w:t>
      </w:r>
    </w:p>
    <w:p>
      <w:r>
        <w:rPr>
          <w:b/>
        </w:rPr>
        <w:t>E. 9.1</w:t>
      </w:r>
    </w:p>
    <w:p>
      <w:r>
        <w:t>Der Richter darf die Verjährung nicht von Amtes wegen berücksichtigen ( Art. 142 OR ). Eine entsprechende Einrede muss ausdrücklich geltend gemacht werden ( BGE 129 V 237 E. 4 S. 241). Erst wenn eine form- und fristgerecht erhobene Einrede vorliegt, greift der Grundsatz iura novit curia in dem Sinn, dass das Gericht die Begründetheit der Einrede unter allen rechtlichen Aspekten zu überprüfen hat ( BGE 66 II 234 S. 237; Urteil des Bundesgerichts vom 1. Juli 1986, in: SJ 1987 S. 33 ff., E. 3e S. 42).</w:t>
      </w:r>
    </w:p>
    <w:p>
      <w:r>
        <w:rPr>
          <w:b/>
        </w:rPr>
        <w:t>E. 9.2</w:t>
      </w:r>
    </w:p>
    <w:p>
      <w:r>
        <w:t>Vorliegend hat die Beschwerdeführerin im handelsgerichtlichen Verfahren in Rz. 331 der Duplik Folgendes ausgeführt: "Wie bereits erwähnt, lagen keine strafbaren Handlungen von Herrn B.________ vor. Der entsprechende klägerische Vorwurf ist haltlos und auch nicht substantiiert. Die u.a. gegen Herrn B.________ geführte Strafuntersuchung wurde unter Auferlegung der Kosten zulasten der Anzeigeerstatter eingestellt. Jedenfalls besteht kein Schadenersatzanspruch der Klägerin gestützt auf Art. 41 OR , für welchen die Beklagte einzustehen hätte. Abgesehen davon wären sämtliche Schadenersatzansprüche der Klägerin verjährt." Danach berief sich die Beschwerdeführerin nur im Zusammenhang mit Schadenersatzansprüchen nach Art. 41 OR aus strafbaren Handlungen von Herrn B.________ auf die Verjährung. Solche Schadenersatzansprüche hatte das Handelsgericht nicht zu prüfen. Es brauchte sich daher mit der ausschliesslich in diesem Zusammenhang aufgeworfenen Verjährungsfrage nicht zu befassen. Entscheidend ist, dass in der erwähnten Ausführung zur Verjährung in der Duplik keine ausdrückliche Verjährungseinrede betreffend den streitigen Rückforderungsanspruch der Beschwerdegegnerin aus ungerechtfertigter Bereicherung erblickt werden kann. Lag aber keine gültige Verjährungseinrede vor, musste sich das Handelsgericht auch nicht mit einer solchen auseinandersetzen. Eine Verletzung des Gehörsanspruchs der Beschwerdeführerin scheidet daher aus. Ebenso wenig kann dem Kassationsgericht Willkür vorgehalten werden, weil es diesbezüglich keine aktenwidrigen Feststellungen ausmachen konnte.</w:t>
      </w:r>
    </w:p>
    <w:p>
      <w:r>
        <w:rPr>
          <w:b/>
        </w:rPr>
        <w:t>E. 9.3</w:t>
      </w:r>
    </w:p>
    <w:p>
      <w:r>
        <w:t>Das Kassationsgericht trat mit Blick auf das im Beschwerdeverfahren geltende Novenverbot auf die eventualiter im Kassationsverfahren erhobene Verjährungseinrede nicht ein. Dagegen bringt die Beschwerdeführerin - zu Recht - nichts vor.</w:t>
      </w:r>
    </w:p>
    <w:p>
      <w:r>
        <w:rPr>
          <w:b/>
        </w:rPr>
        <w:t>E. 9.4</w:t>
      </w:r>
    </w:p>
    <w:p>
      <w:r>
        <w:t>Die Beschwerdeführerin ist jedoch der Meinung, sie sei berechtigt, die Verjährungseinrede noch im bundesgerichtlichen Verfahren zu erheben, da die Verjährung während der Dauer des handelsgerichtlichen Verfahrens eingetreten sei und daher erst im Verfahren vor Bundesgericht habe geltend gemacht werden können. Dies trifft nicht zu. Die Frage, ob die Verjährungseinrede trotz des Novenverbots ( Art. 99 Abs. 1 BGG ) vor Bundesgericht zuzulassen ist, würde sich stellen, wenn die Verjährung erst im Laufe des bundesgerichtlichen Verfahrens eingetreten wäre und der Schuldner keine andere Möglichkeit hätte, der begründeten Einrede zur Rechtswirksamkeit zu verhelfen (vgl. dazu BGE 123 III 213 E. 5b S. 218). Vorliegend trat die Verjährung nach der Behauptung der Beschwerdeführerin während der Dauer des handelsgerichtlichen Verfahrens ein. Die Beschwerdeführerin tut nicht dar, dass sie im handelsgerichtlichen Verfahren die Verjährung nicht hätte geltend machen können. Sie ist daher mit ihrer vor Bundesgericht erhobenen Verjährungseinrede ausgeschlossen ( Art. 99 Abs. 1 BGG ).</w:t>
      </w:r>
    </w:p>
    <w:p>
      <w:r>
        <w:rPr>
          <w:b/>
        </w:rPr>
        <w:t>E. 9.5</w:t>
      </w:r>
    </w:p>
    <w:p>
      <w:r>
        <w:t>Damit erübrigt es sich, auf den Standpunkt der Beschwerdegegnerin einzugehen, dass aufgrund der zwischen den Parteien bestehenden vertraglichen Kontobeziehungen ohnehin die 10-jährige Verjährungsfrist nach Art. 127 OR anwendbar wäre.</w:t>
      </w:r>
    </w:p>
    <w:p>
      <w:r>
        <w:rPr>
          <w:b/>
        </w:rPr>
        <w:t>E. 10</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