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4A_569/2023 vom 11. Januar 2024</w:t>
      </w:r>
    </w:p>
    <w:p>
      <w:r>
        <w:t>Bundesgericht, 2024-01-11, DE</w:t>
      </w:r>
    </w:p>
    <w:p>
      <w:r>
        <w:rPr>
          <w:b/>
        </w:rPr>
        <w:t xml:space="preserve">Quelle: </w:t>
      </w:r>
      <w:r>
        <w:t>https://mcp.opencaselaw.ch/entscheid/bger_4A_569_2023</w:t>
      </w:r>
    </w:p>
    <w:p>
      <w:r>
        <w:t>FR: TF 4A_569/2023 du 11 janvier 2024</w:t>
      </w:r>
    </w:p>
    <w:p>
      <w:r>
        <w:t>IT: TF 4A_569/2023 del 11 gennaio 2024</w:t>
      </w:r>
    </w:p>
    <w:p>
      <w:pPr>
        <w:pStyle w:val="Heading2"/>
      </w:pPr>
      <w:r>
        <w:t>Erwägungen</w:t>
      </w:r>
    </w:p>
    <w:p>
      <w:r>
        <w:rPr>
          <w:b/>
        </w:rPr>
        <w:t>E. 1</w:t>
      </w:r>
    </w:p>
    <w:p>
      <w:r>
        <w:t>Mit Entscheid vom 5. Juni 2023 verpflichtete das Zivilgericht des Kantons Basel-Stadt die Beschwerdeführerin zur Zahlung von Fr. 3'410.-- (Überstunden, Ruhetage, Ferienentschädigung), Fr. 4'399.-- (Lohn 15. April 2022 bis 18. Mai 2022) und Fr. 8'000.-- (Entschädigung wegen missbräuchlicher Kündigung) sowie zur Aus- und Zustellung von Lohnabrechnungen für die Monate April und Mai 2022 und einer Arbeitsbestätigung.</w:t>
      </w:r>
    </w:p>
    <w:p>
      <w:r>
        <w:t>Mit Entscheid vom 17. Oktober 2023 wies das Appellationsgericht des Kantons Basel-Stadt eine von der Beschwerdeführerin gegen den zivilgerichtlichen Entscheid vom 5. Juni 2023 erhobene Berufung ab.</w:t>
      </w:r>
    </w:p>
    <w:p>
      <w:r>
        <w:t>Mit Eingabe vom 22. Juni 2023 erklärte die Beschwerdeführerin dem Bundesgericht, den Entscheid des Appellationsgerichts des Kantons Basel-Stadt vom 17. Oktober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22. Juni 2023 nicht hinreichend mit den eingehenden Erwägungen des angefochtenen Entscheids des Appellationsgerichts des Kantons Basel-Stadt vom 17. Oktober 2023 auseinander und zeigt nicht rechtsgenügend auf, inwiefern die Vorinstanz mit ihrem Entscheid Bundesrecht verletzt hätte, sondern unterbreitet dem Bundesgericht in unzulässiger Weise ihre eigene Sicht der Dinge.</w:t>
      </w:r>
    </w:p>
    <w:p>
      <w:r>
        <w:t>Auf die Beschwerde ist somit mangels hinreichender Begründung nicht einzutreten ( Art. 108 Abs. 1 lit. b BGG ).</w:t>
      </w:r>
    </w:p>
    <w:p>
      <w:r>
        <w:rPr>
          <w:b/>
        </w:rPr>
        <w:t>E. 3</w:t>
      </w:r>
    </w:p>
    <w:p>
      <w:r>
        <w:t>Die Beschwerdeführerin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