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568/2021 vom 6. Dezember 2021</w:t>
      </w:r>
    </w:p>
    <w:p>
      <w:r>
        <w:t>Bundesgericht, 2021-12-06, DE</w:t>
      </w:r>
    </w:p>
    <w:p>
      <w:r>
        <w:rPr>
          <w:b/>
        </w:rPr>
        <w:t xml:space="preserve">Quelle: </w:t>
      </w:r>
      <w:r>
        <w:t>https://mcp.opencaselaw.ch/entscheid/bger_4A_568_2021</w:t>
      </w:r>
    </w:p>
    <w:p>
      <w:r>
        <w:t>FR: TF 4A 568/2021 du 6 décembre 2021</w:t>
      </w:r>
    </w:p>
    <w:p>
      <w:r>
        <w:t>IT: TF 4A 568/2021 del 6 dicembre 2021</w:t>
      </w:r>
    </w:p>
    <w:p>
      <w:pPr>
        <w:pStyle w:val="Heading2"/>
      </w:pPr>
      <w:r>
        <w:t>Regeste</w:t>
      </w:r>
    </w:p>
    <w:p>
      <w:r>
        <w:t>Mieterausweisung, | Vertragsrecht</w:t>
      </w:r>
    </w:p>
    <w:p>
      <w:pPr>
        <w:pStyle w:val="Heading2"/>
      </w:pPr>
      <w:r>
        <w:t>Erwägungen</w:t>
      </w:r>
    </w:p>
    <w:p>
      <w:r>
        <w:rPr>
          <w:b/>
        </w:rPr>
        <w:t>E. 1</w:t>
      </w:r>
    </w:p>
    <w:p>
      <w:r>
        <w:t>Mit Ausweisungsbegehren vom 6. April 2021 beantragten die Beschwerdegegner dem Bezirksgericht Bülach, der Beschwerdeführer sei unter Strafandrohung nach Art. 292 StGB zu verpflichten, das von ihm gemietete Wohnhaus mit Werkstatt und Lagergebäude an der U.________strasse in V.________ unverzüglich zu räumen, zu verlassen und den Beschwerdegegnern ordnungsgemäss, gereinigt und unter Rückgabe sämtlicher Schlüssel zu übergeben. Mit Urteil vom 5. Juli 2021 trat das Bezirksgericht auf das Ausweisungsbegehren nicht ein (Dispositiv-Ziffer 1). Mit Entscheid vom 16. Oktober 2021 hiess das Obergericht des Kantons Zürich eine von den Beschwerdegegnern gegen das bezirksgerichtliche Urteil vom 5. Juli 2021 erhobene Berufung gut, es hob Dispositiv-Ziffer 1 des angefochtenen Entscheids auf und verpflichtet den Beschwerdeführer unter Androhung der Zwangsvollstreckung im Unterlassungsfall, das Wohnhaus mit Werkstatt und Lagergebäude an der U.________strasse in V.________ bis spätestens 1. November 2021 zu räumen und den Beschwerdegegnern ordnungsgemäss zu übergeben. Mit Eingabe vom 7. November 2021 erklärte der Beschwerdeführer dem Bundesgericht, gegen den Entscheid des Obergerichts des Kantons Zürich vom 16. Oktober 2021 Beschwerde zu erheben. Mit Verfügung vom 9. November 2021 wies das Bundesgericht das Gesuch des Beschwerdeführers um Erteilung der aufschiebenden Wirkung ab. Mit Eingabe vom 10. November 2021 ersuchte der Beschwerdeführer erneut um Erteilung der aufschiebenden Wirkung. Es wurden keine Vernehmlassungen eingeholt.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Der Beschwerdeführer setzt sich in seinen Eingaben vom 7. und 10. November 2021 nicht hinreichend mit den Erwägungen des angefochtenen Entscheids des Obergerichts des Kantons Zürich vom 16. Oktober 2021 auseinander und zeigt nicht auf, inwiefern die Vorinstanz mit ihrem Entscheid Bundesrecht verletzt hätte. Vielmehr unterbreitet er dem Bundesgericht in frei gehaltenen Ausführungen seine Sicht der Dinge und weicht dabei in unzulässiger Weise vom vorinstanzlich verbindlich festgestellten Sachverhalt ab. Die Eingaben des Beschwerdeführers erfüllen damit die erwähnten Begründungsanforderungen offensichtlich nicht. Auf die Beschwerde ist somit mangels hinreichender Begründung nicht einzutreten ( Art. 108 Abs. 1 lit. b BGG ).</w:t>
      </w:r>
    </w:p>
    <w:p>
      <w:r>
        <w:rPr>
          <w:b/>
        </w:rPr>
        <w:t>E. 3</w:t>
      </w:r>
    </w:p>
    <w:p>
      <w:r>
        <w:t>Mit dem Entscheid in der Sache wird das Wiedererwägungsgesuch um Erteilung der aufschiebenden Wirkung gegenstandslos. Der Beschwerdeführer wird bei diesem Verfahrensausgang kostenpflichtig ( Art. 66 Abs. 1 BGG ). Den Beschwerdegegnern steht keine Parteientschädigung zu, da ihnen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