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4A_568/2015 vom 10. Dezember 2015</w:t>
      </w:r>
    </w:p>
    <w:p>
      <w:r>
        <w:t>Bundesgericht, 2015-12-10, DE</w:t>
      </w:r>
    </w:p>
    <w:p>
      <w:r>
        <w:rPr>
          <w:b/>
        </w:rPr>
        <w:t xml:space="preserve">Quelle: </w:t>
      </w:r>
      <w:r>
        <w:t>https://mcp.opencaselaw.ch/entscheid/bger_4A_568_2015</w:t>
      </w:r>
    </w:p>
    <w:p>
      <w:r>
        <w:t>FR: TF 4A_568/2015 du 10 décembre 2015</w:t>
      </w:r>
    </w:p>
    <w:p>
      <w:r>
        <w:t>IT: TF 4A_568/2015 del 10 dicembre 2015</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spanischer Sprache abgefasst. Da es sich dabei nicht um eine Amtssprache handelt,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Wohnsitz ausserhalb der Schweiz ( Art. 176 Abs. 1 IPRG ). Da sie die Geltung des 12. Kapitels des IPRG nicht ausdrücklich ausgeschlossen haben, gelangen die Bestimmungen dieses Kapitels zur Anwendung ( Art. 176 Abs. 2 IPRG ). Der Beschwerdeführer bringt zwar vor, die Parteien hätten im Vermittlungsvertrag vom 1. März 2014"die Anwendung der FIFA Reglemente und des Schweizerischen Zivilgesetzbuches [...] bestimmt"; entgegen seiner Ansicht leuchtet jedoch nicht ein, inwiefern sich aus dieser Rechtswahl ein ausdrücklicher Ausschluss der Geltung von Art. 176 ff. IPRG zugunsten der Anwendung von Art. 353 ff. ZPO (SR 272) ergeben soll. Entsprechend ist er mit seinen auf Art. 393 ZPO gestützten Rügen nicht zu hören.</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3</w:t>
      </w:r>
    </w:p>
    <w:p>
      <w:r>
        <w:t>Der Beschwerdeführer wirft dem Schiedsgericht eine Verletzung des Grundsatzes des rechtlichen Gehörs ( Art. 190 Abs. 2 lit. d IPRG ) vor.</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t>Obwohl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immerhin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w:t>
      </w:r>
    </w:p>
    <w:p>
      <w:r>
        <w:rPr>
          <w:b/>
        </w:rPr>
        <w:t>E. 3.2</w:t>
      </w:r>
    </w:p>
    <w:p>
      <w:r>
        <w:t>Der Beschwerdeführer zeigt keine Verletzung des rechtlichen Gehörs auf, indem er in seiner Beschwerdeschrift verschiedenste Behauptungen der Gegenparteien auflistet und vorbringt, er habe im Rahmen des Schiedsverfahrens "im Einzelnen explizit Beweise für [diese] gegnerischen Behauptungen verlangt". Ebenso wenig zeigt er eine Gehörsverletzung auf, indem er ausführt, er habe "zudem im Schiedsverfahren aufgezeigt (was aktenkundig ist), dass mehrere Behauptungen der Beschwerdegegner falsch waren, wie beispielsweise [...]". Auch mit seiner Behauptung, das TAS habe seine Motive zur Vertragsauflösung im Schiedsverfahren ausser Acht gelassen, verkennt der Beschwerdeführer, dass der Anspruch auf rechtliches Gehör keinen Anspruch auf einen materiell richtigen Entscheid enthält, weshalb es nicht Sache des Bundesgerichts ist zu überprüfen, ob das Schiedsgericht sämtliche Aktenstellen berücksichtigt und richtig verstanden hat ( BGE 127 III 576 E. 2b S. 578).</w:t>
      </w:r>
    </w:p>
    <w:p>
      <w:r>
        <w:t>Der Beschwerdeführer vermag nicht darzulegen, inwiefern ihm das Schiedsgericht verunmöglicht hätte, seinen Standpunkt in das Verfahren einzubringen. Der Vorwurf der Gehörsverletzung ist unbegründet.</w:t>
      </w:r>
    </w:p>
    <w:p>
      <w:r>
        <w:rPr>
          <w:b/>
        </w:rPr>
        <w:t>E. 4</w:t>
      </w:r>
    </w:p>
    <w:p>
      <w:r>
        <w:t>Der Beschwerdeführer wirft dem Schiedsgericht eine Verletzung des Ordre public ( Art. 190 Abs. 2 lit. e IPRG ) vor.</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rPr>
          <w:b/>
        </w:rPr>
        <w:t>E. 4.2</w:t>
      </w:r>
    </w:p>
    <w:p>
      <w:r>
        <w:t>Der Beschwerdeführer stellt die Erwägungen des Schiedsgerichts in Frage, das seine Meinung nicht teilte, wonach die im Vermittlungsvertrag vom 1. März 2014 enthaltene Schiedsklausel gegen Art. 404 OR verstosse. Er kritisiert mit seinen Ausführungen lediglich in unzulässiger Weise die schiedsgerichtlichen Erwägungen zu den anwendbaren Bestimmungen des Vertragsrecht und wirft ihm eine unrichtige Rechtsanwendung vor. Er zeigt keinen Verstoss gegen den Ordre public auf, indem er dem Schiedsgericht, das die in Ziffer 4 des Vertrags vom 1. März 2014 enthaltene Konventionalstrafe für gültig erachtete, vorwirft, seine Argumention für die Gültigkeit der Klausel sei nicht nur falsch und verletze das Legalitätsprinzip, sondern sei "schlicht unhaltbar". Entsprechendes gilt für den unter Berufung auf den Grundsatz der Rechtssicherheit erhobenen Einwand, das Schiedsgericht hätte zur Beurteilung der Herabsetzung der Konventionalstrafe nicht auf die schweizerische Rechtsprechung zu Art. 158 ff. OR zurückgreifen dürfen.</w:t>
      </w:r>
    </w:p>
    <w:p>
      <w:r>
        <w:t>Dem Beschwerdeführer kann auch nicht gefolgt werden, wenn er unter Hinweis auf die verfassungsmässige Wirtschaftsfreiheit ( Art. 27 BV ) aus dem Ordre public einen Anspruch auf jederzeitige Kündigung eines zeitlich befristet abgeschlossenen Vertrags ableiten will. Er führt ohne weitere Begründung eine angebliche Beeinträchtigung seines wirtschaftlichen Fortkommens ins Feld; dass die vertraglich vereinbarte Sanktion - die nach seinem Dafürhalten dem entgangenen Gewinn der Beschwerdegegner entspricht - eine offensichtliche und schwerwiegende Persönlichkeitsverletzung darstellen würde, die zur Ordre public-Widrigkeit des entsprechenden Entscheids führen könnte ( BGE 138 III 322 E. 4.3.1 und 4.3.2), vermag er jedoch nicht ansatzweise aufzuzeigen. Auch mit seinen Ausführungen zu der nach seiner Ansicht übermässigen bzw. unverhältnismässigen Höhe der vereinbarten und vom Schiedsgericht auferlegten Konventionalstrafe übt der Beschwerdeführer lediglich unzulässige inhaltliche Kritik am angefochtenen Schiedsentscheid. Von einer Missachtung des dem Ordre public angehörenden Grundsatzes von Treu und Glauben kann entgegen dem, was der Beschwerdeführer anzunehmen scheint, keine Rede sein.</w:t>
      </w:r>
    </w:p>
    <w:p>
      <w:r>
        <w:t>Die Rüge, der angefochtene Schiedsentscheid sei mit dem Ordre public ( Art. 190 Abs. 2 lit. e IPRG ) unvereinbar, ist unbegründet.</w:t>
      </w:r>
    </w:p>
    <w:p>
      <w:r>
        <w:rPr>
          <w:b/>
        </w:rPr>
        <w:t>E. 5</w:t>
      </w:r>
    </w:p>
    <w:p>
      <w:r>
        <w:t>Die Beschwerde erweist sich als unbegründet und ist abzuweisen, soweit darauf eingetreten werden kann. Mit dem Entscheid in der Sache wird das Gesuch des Beschwerdeführers um Erteilung der aufschiebenden Wirkung gegenstandslos.</w:t>
      </w:r>
    </w:p>
    <w:p>
      <w:r>
        <w:t>Dem Ausgang des Verfahrens entsprechend wird der Beschwerdeführer kostenpflichtig ( Art. 66 Abs. 1 BGG ). Die Beschwerdegegner haben keinen Anspruch auf eine Parteientschädigung, da ihnen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