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567/2019 vom 10. Februar 2020</w:t>
      </w:r>
    </w:p>
    <w:p>
      <w:r>
        <w:t>Bundesgericht, 2020-02-10, DE</w:t>
      </w:r>
    </w:p>
    <w:p>
      <w:r>
        <w:rPr>
          <w:b/>
        </w:rPr>
        <w:t xml:space="preserve">Quelle: </w:t>
      </w:r>
      <w:r>
        <w:t>https://mcp.opencaselaw.ch/entscheid/bger_4A_567_2019</w:t>
      </w:r>
    </w:p>
    <w:p>
      <w:r>
        <w:t>FR: TF 4A 567/2019 du 10 février 2020</w:t>
      </w:r>
    </w:p>
    <w:p>
      <w:r>
        <w:t>IT: TF 4A 567/2019 del 10 febbraio 2020</w:t>
      </w:r>
    </w:p>
    <w:p>
      <w:pPr>
        <w:pStyle w:val="Heading2"/>
      </w:pPr>
      <w:r>
        <w:t>Regeste</w:t>
      </w:r>
    </w:p>
    <w:p>
      <w:r>
        <w:t>Haftplichtrecht, Verhandlungsgrundsatz, Beweis | Haftpflichtrecht</w:t>
      </w:r>
    </w:p>
    <w:p>
      <w:pPr>
        <w:pStyle w:val="Heading2"/>
      </w:pPr>
      <w:r>
        <w:t>Erwägungen</w:t>
      </w:r>
    </w:p>
    <w:p>
      <w:r>
        <w:rPr>
          <w:b/>
        </w:rPr>
        <w:t>E. 1</w:t>
      </w:r>
    </w:p>
    <w:p>
      <w:r>
        <w:t>Das angefochtene Urteil des Obergerichts ist ein Endentscheid ( Art. 90 BGG ) einer Vorinstanz im Sinne von Art. 75 BGG . Weiter erreicht der Streitwert den nach Art. 74 Abs. 1 lit. b BGG geltenden Mindestbetrag von Fr. 30'000.--. Die Beschwerde in Zivilsachen ist damit grundsätzlich zulässig.</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Die Beschwerdeführerin rügt eine Verletzung ihres Anspruchs auf rechtliches Gehör und verweist auf Art. 29 Abs. 2 BV sowie auf Art. 53 Abs. 1 und Art. 187 Abs. 4 ZPO .</w:t>
      </w:r>
    </w:p>
    <w:p>
      <w:r>
        <w:rPr>
          <w:b/>
        </w:rPr>
        <w:t>E. 3.1</w:t>
      </w:r>
    </w:p>
    <w:p>
      <w:r>
        <w:t>In ihrer Berufungsschrift verwies die Beschwerdeführerin einleitend auf ihren ersten vor Bezirksgericht eingereichten, "ausführlichen und detaillierten Schlussvortrag". Sie bemerkte dazu, es sei fraglich, ob das Bezirksgericht diesen überhaupt gelesen habe, da es in seinem Urteil mit keinem Wort darauf eingehe.</w:t>
      </w:r>
    </w:p>
    <w:p>
      <w:r>
        <w:rPr>
          <w:b/>
        </w:rPr>
        <w:t>E. 3.2</w:t>
      </w:r>
    </w:p>
    <w:p>
      <w:r>
        <w:t>Das Obergericht erwog, es sei anzunehmen, die Beschwerdeführerin mache mit dieser Rüge eine Verletzung des Anspruchs auf rechtliches Gehör geltend. Da sie aber nicht angebe, welche ihrer Ausführungen die Vorinstanz nicht beachtet habe, sei auf diese allgemeine Kritik nicht weiter einzugehen.</w:t>
      </w:r>
    </w:p>
    <w:p>
      <w:r>
        <w:rPr>
          <w:b/>
        </w:rPr>
        <w:t>E. 3.3</w:t>
      </w:r>
    </w:p>
    <w:p>
      <w:r>
        <w:t>Die Beschwerdeführerin moniert in ihrer Beschwerde an das Bundesgericht, sie habe vor Obergericht "nicht bloss" auf den Schlussvortrag verwiesen, sondern ihn "als ergänzende Berufungsbegründung der Berufungsschrift" beigefügt. Er habe "somit integrierender Bestandteil der Berufungsbegründung" gebildet. Dieses Vorgehen sei angebracht gewesen, weil das Bezirksgericht nur sehr "oberflächlich, rudimentär und selektiv" auf ihre Argumentation eingegangen sei. In der Folge legt sie dar, welche Erkenntnisse aus diesem ersten Schlussvortrag zu ziehen seien, und verweist am Rande auch auf den zweiten (erstinstanzlichen) Schlussvortrag, dem ebenfalls "keine Beachtung" geschenkt worden sei.</w:t>
      </w:r>
    </w:p>
    <w:p>
      <w:r>
        <w:rPr>
          <w:b/>
        </w:rPr>
        <w:t>E. 3.4</w:t>
      </w:r>
    </w:p>
    <w:p>
      <w:r>
        <w:t>Die Kritik der Beschwerdeführerin geht an der Sache vorbei. Der massgeblichen Erwägung der Obergerichts liegt nämlich der Gedanke zugrunde, dass es zur Geltendmachung einer Gehörsverletzung nicht genügt, global auf eine - angeblich zu Unrecht unbeachtet gebliebene - Beilage zu verweisen, ohne darzutun, was die Beilage beinhaltet und welche der darin vorgebrachten Ausführungen übergangen worden sein sollen (siehe auch Urteile 4A_112/2018 vom 20. Juni 2018 E. 3.3; 4A_465/2008 vom 28. November 2008 E. 2.2). Dass die Beschwerdeführerin dies vor Bundesgericht nachholt, genügt nicht.</w:t>
      </w:r>
    </w:p>
    <w:p>
      <w:r>
        <w:rPr>
          <w:b/>
        </w:rPr>
        <w:t>E. 3.5</w:t>
      </w:r>
    </w:p>
    <w:p>
      <w:r>
        <w:t>Am Schluss ihrer beim Bundesgericht eingereichten Beschwerdeschrift wiederholt die Beschwerdeführerin in Rz. 13 ihre Rüge in anderem Zusammenhang:</w:t>
      </w:r>
    </w:p>
    <w:p>
      <w:r>
        <w:rPr>
          <w:b/>
        </w:rPr>
        <w:t>E. 3.5.1</w:t>
      </w:r>
    </w:p>
    <w:p>
      <w:r>
        <w:t>In den vorinstanzlichen Verfahren war strittig, ob der Prüfung des Grads der Arbeits (un) fähigkeit der Beschwerdegegnerin eine Validentätigkeit als "Konzertpianistin" oder als "Eventpianistin" zugrunde zu legen ist. Das Bezirksgericht behandelte diese Frage einerseits unter dem Titel "Körperverletzung", andererseits im Rahmen der "Schadensermittlung". Die Beschwerdeführerin kritisierte vor Obergericht, ein medizinisches Gutachten des Universitätsspitals Zürich sei zu Unrecht von einer Validentätigkeit als "Konzertpianistin" ausgegangen. Das Obergericht erwog zusammengefasst, das Bezirksgericht habe sich ausführlich zu dieser Thematik geäussert. Die Beschwerdeführerin habe mit ihrer in der Berufung erhobenen Kritik nicht aufgezeigt, inwiefern die Auffassung des Bezirksgerichts unrichtig sein soll, sondern dessen Erwägungen einzig ihre anderslautende Meinung gegenübergestellt. Auch ihre Rüge, das Bezirksgericht sei nicht auf ihre Argumentation eingegangen, sei nicht hinreichend begründet, da sie konkret hätte darlegen müssen, welche Vorbringen zu Unrecht nicht berücksichtigt worden seien.</w:t>
      </w:r>
    </w:p>
    <w:p>
      <w:r>
        <w:rPr>
          <w:b/>
        </w:rPr>
        <w:t>E. 3.5.2</w:t>
      </w:r>
    </w:p>
    <w:p>
      <w:r>
        <w:t>Die Beschwerdeführerin moniert erneut eine Verletzung ihres Anspruchs auf rechtliches Gehör, verweist aber wiederum einzig auf ihren - angeblich unberücksichtigt gebliebenen - Schlussvortrag, den sie "als Begründung der Berufung beigefügt" habe. In diesem Schlussvortrag habe sie dargelegt, weshalb dem Gutachten des Universitätsspitals Zürich nicht gefolgt werden könne. Diese Rüge verfängt aus den bereits dargelegten Gründen (Erwägung 3.4) nicht: Das Obergericht hat zu Recht erkannt, dass die Beschwerdeführerin zur Begründung der von ihr behaupteten Gehörsverletzung hätte dartun müssen, mit welchen konkreten Vorbringen sie vor Bezirksgericht nicht gehört worden sei. Dass sie dies getan hätte, zeigt die Beschwerdeführerin vor Bundesgericht nicht auf. Sie beschränkt sich vielmehr auf Ausführungen zur Frage, weshalb bei der Beurteilung der Arbeitsunfähigkeit von einer Validentätigkeit als "Eventpianistin" hätte ausgegangen werden müssen.</w:t>
      </w:r>
    </w:p>
    <w:p>
      <w:r>
        <w:rPr>
          <w:b/>
        </w:rPr>
        <w:t>E. 4</w:t>
      </w:r>
    </w:p>
    <w:p>
      <w:r>
        <w:t>Sodann macht die Beschwerdeführerin geltend, die Vorinstanzen hätten gegen den Verhandlungsgrundsatz ( Art. 55 Abs. 1 ZPO ) verstossen.</w:t>
      </w:r>
    </w:p>
    <w:p>
      <w:r>
        <w:rPr>
          <w:b/>
        </w:rPr>
        <w:t>E. 4.1</w:t>
      </w:r>
    </w:p>
    <w:p>
      <w:r>
        <w:t>Im Einzelnen bringt sie vor, die Vorinstanzen seien davon ausgegangen, dass die Beschwerdegegnerin bei den Auffahrunfällen Distorsionen der Halswirbelsäule erlitten habe. Die Beschwerdegegnerin habe indes einzig "Auffahrunfälle und daraus resultierende Gesundheitsbeeinträchtigungen" geltend gemacht, nicht aber das Vorliegen von Distorsionen der Halswirbelsäule behauptet. Folglich hätten die Vorinstanzen ihre Urteile auf einen Sachverhalt gestützt, der von der Beschwerdegegnerin nicht vorgetragen worden sei.</w:t>
      </w:r>
    </w:p>
    <w:p>
      <w:r>
        <w:rPr>
          <w:b/>
        </w:rPr>
        <w:t>E. 4.2</w:t>
      </w:r>
    </w:p>
    <w:p>
      <w:r>
        <w:t>Das Obergericht hielt dazu fest, es sei nicht massgebend, ob die Beschwerdegegnerin ihre gesundheitlichen Beeinträchtigungen als "Distorsionen der Halswirbelsäule" bezeichnet habe. Entscheidend sei vielmehr die Be- respektive Umschreibung der gesundheitlichen Beeinträchtigungen und Beschwerden beziehungsweise der geistigen sowie körperlichen Symptome und Einschränkungen. Die Beschwerdeführerin selbst stelle nicht in Abrede, dass die Beschwerdegegnerin gesundheitliche Beschwerden beschrieben habe, die Folge der Unfälle seien. Die Beschwerdegegnerin bringt ihrerseits in ihrer Beschwerdeantwort an das Bundesgericht vor, sie habe in Rz. 51, 54 und 55 ihrer Klageschrift und in Rz. 108, 271, 272, 282 und 284 ihrer Replikschrift ausdrücklich "Schleudertraumas und HWS-Distorsionen, resp. Beschleunigungstraumas, bzw. 'Missmatch' bei multisegmentaler Funktionsstörung der zervikalen Bewegungssegmente, resp. der zervikalen Facettengelenke, Autounfälle mit zervikocephalen Akzelerations-/Dezelerationstraumas" geltend gemacht.</w:t>
      </w:r>
    </w:p>
    <w:p>
      <w:r>
        <w:rPr>
          <w:b/>
        </w:rPr>
        <w:t>E. 4.3</w:t>
      </w:r>
    </w:p>
    <w:p>
      <w:r>
        <w:t>Vor Bundesgericht verweist die Beschwerdeführerin in diesem Zusammenhang erneut auf ihren ersten Schlussvortrag, der "integrierender Bestandteil" der Berufung gewesen sei und in dem sie dargelegt habe, dass die Beschwerdegegnerin keine Distorsionen der Halswirbelsäule behauptet habe. In der Replik führt sie zudem aus, dass die Beschwerdegegnerin an den von dieser zitierten Stelle in Klage- und Replikschrift "nicht eine eigene prozessuale Darstellung", sondern ärztliche "Diagnosen und Beurteilungen" wiedergegeben habe.</w:t>
      </w:r>
    </w:p>
    <w:p>
      <w:r>
        <w:rPr>
          <w:b/>
        </w:rPr>
        <w:t>E. 4.4.1</w:t>
      </w:r>
    </w:p>
    <w:p>
      <w:r>
        <w:t>In Verfahren, die wie das vorliegende vom Verhandlungsgrundsatz beherrscht sind, tragen die Parteien die Verantwortung für die Beschaffung des Tatsachenstoffs. Sie haben alle Tatbestandselemente der materiellrechtlichen Normen zu behaupten, die den von ihnen anbegehrten Anspruch begründen (siehe Art. 55 ZPO ).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Dabei bestimmt sich nach den einschlägigen bundesrechtlichen Normen, welche Tatsachen für einen schlüssigen Vortrag zu behaupten sind ( BGE 144 III 519 E. 5.2.1.1; 127 III 365 E. 2b S. 368; Urteil 4A_441/2019 vom 9. Dezember 2019 E. 2.1; je mit Hinweisen). Eine Tatsachenbehauptung braucht dabei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Was offensichtlich in anderen, ausdrücklich vorgebrachten Parteibehauptungen enthalten ist, muss nicht explizit behauptet werden (sog. implizite bzw. mitbehauptete Tatsachen: BGE 144 III 519 E. 5.3.2 S. 526; Urteile 4A_243/2018 vom 17. Dezember 2018 E. 4.2.1; 4A_625/2015 vom 29. Juni 2016 E. 4.1, nicht publ. in: BGE 142 III 581 ; je mit Hinweisen).</w:t>
      </w:r>
    </w:p>
    <w:p>
      <w:r>
        <w:rPr>
          <w:b/>
        </w:rPr>
        <w:t>E. 4.4.2</w:t>
      </w:r>
    </w:p>
    <w:p>
      <w:r>
        <w:t>Nach der (verbindlichen) Feststellung der Vorinstanz hat die Beschwerdegegnerin im erstinstanzlichen Verfahren jedenfalls durch die Unfälle verursachte gesundheitliche Beschwerden beschrieben. Weshalb dies für die vollständige Subsumtion unter die entsprechenden haftpflichtbegründenden Rechtsnormen nicht genügen soll, sondern darüber hinaus für einen schlüssigen Tatsachenvortrag die ausdrückliche Behauptung von "Distorsionen der Halswirbelsäule" erforderlich gewesen wäre, legt die Beschwerdeführerin nicht dar. Dies ist vor dem Hintergrund der auf Art. 46 und Art. 47 OR gestützten Zusprechung von Schadenersatz und Genugtuung auch nicht ersichtlich. Auch soweit die Beschwerdeführerin - darüber hinaus - geltend machen möchte, die Vorinstanzen hätten zu Unrecht aus nicht behaupteten, wenn auch beweismässig erstellten Tatsachen weitere Rechtsfolgen abgeleitet, und damit auf die Problematik "überschiessender Beweisergebnisse" zielt (dazu im Einzelnen Urteil 4A_195/2014 vom 27. November 2014 E. 7.2, nicht publ. in: BGE 140 III 602 ), geht sie fehl. Das Bezirksgericht schloss gestützt auf eine Würdigung der Beweise - namentlich der ärztlichen Gutachten - auf Distorsionen der Halswirbelsäule. In der Beweiswürdigung ist das Gericht frei (vgl. Art. 157 ZPO ). Zur Begründung einer Verletzung der Verhandlungsmaxime genügt es in diesem Zusammenhang nicht, dass eine im Rahmen der Würdigung der Beweise berücksichtigte Einzeltatsache nicht explizit behauptet wurde. Die Frage, ob das Gericht aus den Akten ersichtliche Tatsachen trotz fehlender Behauptung berücksichtigen darf, würde sich nämlich auch hier nur stellen, wenn die Beschwerdegegnerin die für die Subsumtion unter die Bestimmungen des materiellen Rechts massgebenden Umstände, die das Gericht durch die Beweismittel als erwiesen ansah, nicht in einer den Gewohnheiten des Lebens entsprechenden Weise in ihren wesentlichen Zügen oder Umrissen behauptet und nach Massgabe der Bestreitung substanziiert hätte, oder wenn sich die Prozessparteien für die massgebenden Umstände nicht rechtsgenüglich auf die von der Vorinstanz herangezogenen Beweismittel berufen hätten (vgl. Urteil 4A_195/2014 vom 27. November 2014 E. 7.3.4, nicht publ. in: BGE 140 III 602 ). Dass dies der Fall wäre, tut die Beschwerdeführerin nicht rechtsgenüglich dar.</w:t>
      </w:r>
    </w:p>
    <w:p>
      <w:r>
        <w:rPr>
          <w:b/>
        </w:rPr>
        <w:t>E. 5</w:t>
      </w:r>
    </w:p>
    <w:p>
      <w:r>
        <w:t>Weiter sieht die Beschwerdeführerin ihr Recht auf Beweis ( Art. 152 ZPO ) verletzt. Sie trägt vor, die Vorinstanzen hätten es in willkürlicher Weise unterlassen, das von ihr beantragte biomechanische Gutachten in Auftrag zu geben.</w:t>
      </w:r>
    </w:p>
    <w:p>
      <w:r>
        <w:rPr>
          <w:b/>
        </w:rPr>
        <w:t>E. 5.1</w:t>
      </w:r>
    </w:p>
    <w:p>
      <w:r>
        <w:t>Der Beweisführungsanspruch nach Art. 29 Abs. 2 BV , Art. 8 ZGB beziehungsweise Art. 152 ZPO verschafft zwar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 Das Bundesgericht ordnet die antizipierte Beweiswürdigung, soweit seine Kognition betreffend, der Sachverhaltsfeststellung respektive Beweiswürdigung zu und greift in diese entsprechend nur ein, wenn sie willkürlich ist ( BGE 138 III 374 E. 4.3.2 S. 376 mit Hinweis; vorstehende Erwägung 2.3).</w:t>
      </w:r>
    </w:p>
    <w:p>
      <w:r>
        <w:rPr>
          <w:b/>
        </w:rPr>
        <w:t>E. 5.2</w:t>
      </w:r>
    </w:p>
    <w:p>
      <w:r>
        <w:t>Das Bezirksgericht lehnte die Abnahme eines biomechanischen Gutachtens ab, weil es zur Beurteilung der im Streit liegenden Langzeitfolgen nicht tauge. Das Obergericht erwog unter anderem, die Beschwerdeführerin habe selbst eingeräumt, dass Distorsionen der Halswirbelsäule auch dann vorliegen könnten, wenn diese biomechanisch nicht erklärbar seien. Es rechtfertige sich daher, von einem biomechanischen Gutachten abzusehen. Diesen Schluss weist die Beschwerdeführerin nicht als willkürlich aus: Sie verweist zunächst auf eine erstinstanzlich eingereichte Eingabe vom 9. Oktober 2017, worin sie dargelegt habe, weshalb ein biomechanisches Gutachten "für eine vollständige Sachverhaltsabklärung und eine überzeugende Beweiswürdigung unverzichtbar" sei. Indes haben die Parteien ihre Argumente vor Bundesgericht in ihren Rechtsschriften vorzubringen. Es genügt nicht, auf im kantonalen Verfahren vorgebrachte Beanstandungen zu verweisen (vgl. BGE 133 II 396 E. 3.2; Urteil 4A_501/2013 vom 31. März 2014 E. 1; vorstehende Erwägung 2.1). Die Verweisung auf eine vor Bezirksgericht eingegebene Rechtsschrift ist daher von vornherein nicht geeignet, Willkür in der obergerichtlichen Begründung aufzuzeigen. Die Eingabe vom 9. Oktober 2017 geht denn auch inhaltlich an der Argumentation des Obergerichts vorbei. Im Übrigen "bekräftigt" die Beschwerdeführerin vor Bundesgericht, dass ein biomechanisches Gutachten "unverzichtbar" sei "bei prozessualen Streitigkeiten über die Frage, ob HWS-Distorsionen bei Auffahrunfällen im Harmlosigkeitsbereich der Geschwindigkeitsänderung anzunehmen" seien. Mit diesen Ausführungen legt die Beschwerdeführerin in allgemeiner Weise dar, welche Bedeutung sie dem strittigen Gutachten beimisst. Inwiefern es offensichtlich unhaltbar sein soll, wenn die Vorinstanz von der Abnahme dieses Beweismittels absah - mit der Begründung, selbst bei biomechanischer Nichterklärbarkeit könnten Distorsionen der Halswirbelsäule vorliegen -, ist damit nicht dargetan.</w:t>
      </w:r>
    </w:p>
    <w:p>
      <w:r>
        <w:rPr>
          <w:b/>
        </w:rPr>
        <w:t>E. 6</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