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4A_567/2017 vom 24. Januar 2018</w:t>
      </w:r>
    </w:p>
    <w:p>
      <w:r>
        <w:t>Bundesgericht, 2018-01-24, FR</w:t>
      </w:r>
    </w:p>
    <w:p>
      <w:r>
        <w:rPr>
          <w:b/>
        </w:rPr>
        <w:t xml:space="preserve">Quelle: </w:t>
      </w:r>
      <w:r>
        <w:t>https://mcp.opencaselaw.ch/entscheid/bger_4A_567_2017</w:t>
      </w:r>
    </w:p>
    <w:p>
      <w:r>
        <w:t>FR: TF 4A_567/2017 du 24 janvier 2018</w:t>
      </w:r>
    </w:p>
    <w:p>
      <w:r>
        <w:t>IT: TF 4A_567/2017 del 24 gennaio 2018</w:t>
      </w:r>
    </w:p>
    <w:p>
      <w:pPr>
        <w:pStyle w:val="Heading2"/>
      </w:pPr>
      <w:r>
        <w:t>Erwägungen</w:t>
      </w:r>
    </w:p>
    <w:p>
      <w:r>
        <w:rPr>
          <w:b/>
        </w:rPr>
        <w:t>E. 1.1</w:t>
      </w:r>
    </w:p>
    <w:p>
      <w:r>
        <w:t>Les conditions de recevabilité du recours en matière civile sont en principe satisfaites, notamment à raison de la valeur litigieuse minimale de 15'000 fr. fixée pour les contestations relevant du droit du travail ( art. 74 al. 1 let. a LTF ). Demeure réservé l'examen des griefs particuliers.</w:t>
      </w:r>
    </w:p>
    <w:p>
      <w:r>
        <w:rPr>
          <w:b/>
        </w:rPr>
        <w:t>E. 1.2</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135 III 397 consid. 1.4 in fine).</w:t>
      </w:r>
    </w:p>
    <w:p>
      <w:r>
        <w:t>Le Tribunal fédéral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2</w:t>
      </w:r>
    </w:p>
    <w:p>
      <w:r>
        <w:t>Il est constant que la recourante était liée à l'intimée par un contrat de travail. Selon l'employeuse, elle a résilié à bon droit le contrat avec effet immédiat, car l'employée, alors en arrêt maladie, était passée dans les locaux de l'entreprise le 30 juin 2015 et avait emporté à cette occasion un carnet contenant des cartes de visite de clients de la société. A l'instar du Tribunal de Prud'hommes, la Cour d'appel civile a jugé que les motifs invoqués ne justifiaient pas un licenciement immédiat.</w:t>
      </w:r>
    </w:p>
    <w:p>
      <w:r>
        <w:rPr>
          <w:b/>
        </w:rPr>
        <w:t>E. 2.1</w:t>
      </w:r>
    </w:p>
    <w:p>
      <w:r>
        <w:t>La recourante reproche tout d'abord à la cour cantonale de ne pas avoir traité l'argumentation développée dans son mémoire d'appel, selon laquelle les premiers juges avaient apprécié arbitrairement les preuves à disposition. Elle reproduit de larges passages de l'écriture en cause, dans lesquels elle fait grief au Tribunal de Prud'hommes de ne pas avoir tenu compte des déclarations de deux témoins; il est apparemment question des déclarations du témoin M.________ (" selon moi, elle n'était pas autorisée à reprendre ce portefeuille qui appartenait au bureau ainsi qu'une partie de son contenu ") et du témoin N.________ (" pour moi ce comportement n'était pas normal car c'était les cartes de visite de l'entreprise et on ne les prend pas sans l'accord du patron ").</w:t>
      </w:r>
    </w:p>
    <w:p>
      <w:r>
        <w:t>Sur ce point, la recourante n'invoque aucune norme protégeant son droit d'être entendue, ce qui rend</w:t>
      </w:r>
    </w:p>
    <w:p>
      <w:r>
        <w:t>ipso facto ce pan du moyen irrecevable ( art. 106 al. 2 LTF ).</w:t>
      </w:r>
    </w:p>
    <w:p>
      <w:r>
        <w:t>Fût-il recevable qu'il serait privé de tout fondement. La cour cantonale a discuté l'allégation de la recourante selon laquelle le carnet contenant des cartes de visite, emporté par l'employée le 30 juin 2015, contiendrait " de nombreuses cartes de visite professionnelles, en tout cas largement plus que les deux retenues par le tribunal ". Elle a relevé que la recourante ne remettait pas en cause le fait que ce carnet contenait également des cartes personnelles, ni le fait que l'employée n'avait pas utilisé - ni eu l'intention d'utiliser - d'information confidentielle au préjudice de la recourante. Les juges vaudois en ont déduit que le seul fait que ce carnet, emporté au vu et au su des employés présents, ait contenu, outre des cartes de visite privées, des cartes de visite de clients de la fiduciaire - peu importe leur proportion - ne suffisait pas pour retenir une violation du devoir de fidélité ( art. 321a CO ), celui-ci impliquant de ne pas utiliser ou divulguer auprès de tiers des informations confidentielles ou secrètes de l'employeur. Cette argumentation se suffit à elle-même. C'est le lieu de préciser que le juge n'est pas tenu d'exposer et de discuter tous les faits, moyens de preuve et griefs invoqués par les parties; en effet, il n'y a violation du droit d'être entendu que si l'autorité ne satisfait pas à son devoir minimum d'examiner et de traiter les problèmes pertinents ( ATF 141 V 557 consid. 3.2.1 p. 565; 139 IV 179 consid. 2.2 p. 183; 136 I 229 consid. 5.2 p. 236). Il s'ensuit que la cour cantonale n'avait pas à discuter les opinions personnelles des deux témoins précités, celles-ci n'étant pas décisives.</w:t>
      </w:r>
    </w:p>
    <w:p>
      <w:r>
        <w:t>Une violation du droit d'être entendu est ainsi exclue.</w:t>
      </w:r>
    </w:p>
    <w:p>
      <w:r>
        <w:rPr>
          <w:b/>
        </w:rPr>
        <w:t>E. 2.2</w:t>
      </w:r>
    </w:p>
    <w:p>
      <w:r>
        <w:t>La recourante fait également grief aux juges cantonaux de s'être livrés à une appréciation arbitraire des preuves.</w:t>
      </w:r>
    </w:p>
    <w:p>
      <w:r>
        <w:t>Selon elle, le carnet emporté par l'employée comportait de nombreuses cartes de visite de clients de la fiduciaire et, en outre, son contenu ne correspond pas à celui du carnet produit en procédure. La recourante ne remet toutefois pas en cause le fait que des cartes de visite personnelles figuraient également dans le carnet litigieux. A cet égard, la recourante perd de vue que l'autorité précédente a considéré que le nombre de cartes professionnelles concernées et leur proportion par rapport aux cartes privées étaient des éléments qui n'avaient pas d'incidence sur le sort du litige (cf. art. 97 al. 1 LTF ).</w:t>
      </w:r>
    </w:p>
    <w:p>
      <w:r>
        <w:t>S'agissant de l'intention réelle de l'employée lorsque celle-ci a emporté le carnet litigieux, la recourante prétend que les constatations des juges cantonaux sont insoutenables. La motivation du grief d'arbitraire se limite sur ce point à la reprise d'un passage du mémoire d'appel. De ces lignes, difficilement compréhensibles, on ne saurait manifestement conclure à un quelconque arbitraire de la part de la cour cantonale.</w:t>
      </w:r>
    </w:p>
    <w:p>
      <w:r>
        <w:t>Pour autant que recevable, le moyen fondé sur l' art. 9 Cst. doit être rejeté.</w:t>
      </w:r>
    </w:p>
    <w:p>
      <w:r>
        <w:rPr>
          <w:b/>
        </w:rPr>
        <w:t>E. 2.3</w:t>
      </w:r>
    </w:p>
    <w:p>
      <w:r>
        <w:t>La recourante reproche enfin aux juges cantonaux une violation des art. 321a et 337 CO et reprend, par citation, la motivation qu'elle avait développée à l'encontre du premier jugement.</w:t>
      </w:r>
    </w:p>
    <w:p>
      <w:r>
        <w:t>Il doit exister un lien entre la motivation du recours et la décision attaquée. Il incombe à la partie recourante de se déterminer au moins brièvement par rapport aux considérants de l'arrêt entrepris. Elle ne satisfait pas aux exigences de l' art. 42 al. 2 LTF si elle reprend mot pour mot l'argumentation formée dans le cadre du recours cantonal sans expliquer, ne serait-ce que succinctement, en quoi l'autorité cantonale supérieure violerait elle aussi le droit fédéral ( ATF 134 II 244 consid. 2.1 et 2.3 p. 245 ss).</w:t>
      </w:r>
    </w:p>
    <w:p>
      <w:r>
        <w:t>En l'espèce, la motivation du recours ne remplit pas ces conditions, puisque la recourante se contente de reproduire un extrait de son mémoire d'appel. Le moyen est dès lors irrecevable.</w:t>
      </w:r>
    </w:p>
    <w:p>
      <w:r>
        <w:rPr>
          <w:b/>
        </w:rPr>
        <w:t>E. 3</w:t>
      </w:r>
    </w:p>
    <w:p>
      <w:r>
        <w:t>Sur le vu de ce qui précède, le recours doit être rejeté dans la mesure où il est recevable.</w:t>
      </w:r>
    </w:p>
    <w:p>
      <w:r>
        <w:t>La recourante, qui succombe, prendra à sa charge les frais judiciaires ( art. 66 al. 1 LTF ). Par ailleurs, elle versera des dépens à l'intimée 1, qui a déposé une réponse par l'entremise de son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