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4A_566/2013 vom 26. März 2014</w:t>
      </w:r>
    </w:p>
    <w:p>
      <w:r>
        <w:t>Bundesgericht, 2014-03-26, DE</w:t>
      </w:r>
    </w:p>
    <w:p>
      <w:r>
        <w:rPr>
          <w:b/>
        </w:rPr>
        <w:t xml:space="preserve">Quelle: </w:t>
      </w:r>
      <w:r>
        <w:t>https://mcp.opencaselaw.ch/entscheid/bger_4A_566_2013</w:t>
      </w:r>
    </w:p>
    <w:p>
      <w:r>
        <w:t>FR: TF 4A_566/2013 du 26 mars 2014</w:t>
      </w:r>
    </w:p>
    <w:p>
      <w:r>
        <w:t>IT: TF 4A_566/2013 del 26 marzo 2014</w:t>
      </w:r>
    </w:p>
    <w:p>
      <w:pPr>
        <w:pStyle w:val="Heading2"/>
      </w:pPr>
      <w:r>
        <w:t>Erwägungen</w:t>
      </w:r>
    </w:p>
    <w:p>
      <w:r>
        <w:rPr>
          <w:b/>
        </w:rPr>
        <w:t>E. 1</w:t>
      </w:r>
    </w:p>
    <w:p>
      <w:r>
        <w:t>Entscheide über vorsorgliche Massnahmen gelten nur dann als Endentscheide im Sinne von Art. 90 BGG , wenn sie in einem eigenständigen Verfahren ergehen. Selbstständig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S. 79 mit Hinweis).</w:t>
      </w:r>
    </w:p>
    <w:p>
      <w:r>
        <w:t>Der angefochtene Entscheid betrifft vorsorgliche Massnahmen, die in einem von der Einleitung eines ordentlichen Hauptverfahrens unabhängigen Verfahren beurteilt wurden. Mit dem angefochtenen Entscheid wurde das Gesuch abgewiesen und damit das Gesuchsverfahren zum Abschluss gebracht. Es handelt sich folglich um einen Endentscheid i.S. von Art. 90 BGG (vgl. auch BGE 138 III 76 E. 1.2 S. 79 mit Hinweis).</w:t>
      </w:r>
    </w:p>
    <w:p>
      <w:r>
        <w:t>Die übrigen Sachurteilsvoraussetzungen geben zu keiner Bemerkung Anlass, sodass - unter Vorbehalt einer genügenden Begründung ( Art. 42 Abs. 2 und Art. 106 Abs. 2 BGG ) - auf die Beschwerde einzutreten ist.</w:t>
      </w:r>
    </w:p>
    <w:p>
      <w:r>
        <w:rPr>
          <w:b/>
        </w:rPr>
        <w:t>E. 2.1</w:t>
      </w:r>
    </w:p>
    <w:p>
      <w:r>
        <w:t>Bei einem Entscheid, der eine vorsorgliche Massnahme zum Gegenstand hat, kann vor Bundesgericht nur die Verletzung verfassungsmässiger Rechte geltend gemacht werden ( Art. 98 BGG ). Die Verletzung dieser Rechte kann das Bundesgericht nur insofern prüfen, als eine solche Rüge in der Beschwerde präzise vorgebracht und begründet worden ist ( Art. 106 Abs. 2 BGG ; BGE 136 I 65 E. 1.3.1 S. 68 ; 134 I 83 E. 3.2 S. 88;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vorinstanzlichen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w:t>
      </w:r>
    </w:p>
    <w:p>
      <w:r>
        <w:t>Das Bundesgericht legt seinem Urteil den Sachverhalt zugrunde, den die Vorinstanz festgestellt hat ( Art. 105 Abs. 1 BGG );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 Ausserdem hat der Beschwerdeführer mit Aktenhinweisen darzulegen, dass er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2.3</w:t>
      </w:r>
    </w:p>
    <w:p>
      <w:r>
        <w:t>Der Beschwerdeführer wird diesen Grundsätzen über weite Strecken nicht gerecht. So präsentiert er vorweg auf den Seiten 3-6 der Beschwerde seine Sicht des Sachverhalts und kritisiert sodann unter dem Titel "Zum Entscheid des Obergerichts vom 11.09.2013" auf den Seiten 6-12 die vorinstanzlichen Feststellungen zum Sachverhalt als willkürlich, trägt dabei aber im Wesentlichen unzulässige appellatorische Kritik vor. Ebenso erweitert er im Rahmen seiner Ausführungen zur Unmöglichkeit bzw. der Verunmöglichung seiner Vertragserfüllung durch die Beschwerdegegnerin den Sachverhalt gegenüber den von der Vorinstanz dargelegten Tatsachen, wiederum ohne auch nur ansatzweise darzulegen, inwiefern die Voraussetzungen dafür gegeben wären. Darauf ist nicht einzutreten.</w:t>
      </w:r>
    </w:p>
    <w:p>
      <w:r>
        <w:rPr>
          <w:b/>
        </w:rPr>
        <w:t>E. 3</w:t>
      </w:r>
    </w:p>
    <w:p>
      <w:r>
        <w:t>Streitig ist die Frage, ob die Beschwerdegegnerin gemäss Kaufvertrag vom 6. Mai 2011 bzw. den Änderungen gemäss Schlichtungsvereinbarung vom 19./20. April 2012 auf ihre Kosten Erweiterungen von Gebäudeöffnungen hätte vornehmen müssen (inkl. Abstützmassnahmen im Hinblick auf die Statik), um die Demontage und den Abtransport grosser Anlageteile durch den Beschwerdeführer zu ermöglichen und mangels deren Vornahme selber dafür verantwortlich sei, dass die Anlage nicht termingerecht weggeschafft wurde.</w:t>
      </w:r>
    </w:p>
    <w:p>
      <w:r>
        <w:rPr>
          <w:b/>
        </w:rPr>
        <w:t>E. 3.1</w:t>
      </w:r>
    </w:p>
    <w:p>
      <w:r>
        <w:t>Die Vorinstanz hielt fest, gemäss Ziffer 7 der Schlichtungsvereinbarung habe die Verkäuferin eine Erweiterung der fraglichen Gebäudeöffnungen nur zum Zweck der Ausschaffung der Pressen und auch diesbezüglich nur dann auf ihre Kosten vornehmen müssen, wenn sich die "bauliche Umgebung" seit dem Einbau so verändert hätte, dass deren Ausbau auch in zerlegtem Zustand nicht mehr möglich gewesen sei. Dass sich die "bauliche Umgebung" zwischenzeitlich verändert hätte, sei vom Käufer nicht glaubhaft gemacht worden. Für anderweitige Absprachen oder Zusicherungen gebe es keine Hinweise. Die Verkäuferin sei somit nicht zu einer Veränderung der Gebäudeöffnungen im Sinn einer Anpassung der Montageöffnung sowie des Aussentors verpflichtet gewesen. Da sie keine Erweiterung der Gebäudeöffnungen geschuldet habe, sei sie auch nicht zu diesbezüglichen Stützmassnahmen im Hinblick auf die Statik verpflichtet gewesen.</w:t>
      </w:r>
    </w:p>
    <w:p>
      <w:r>
        <w:t>Weiter schloss die Vorinstanz, wie sich aus Ziffer 8 der Schlichtungsvereinbarung ergebe, hätten die Parteien gewusst, dass die grossen Tanks nicht durch die bestehenden Öffnungen ausgebaut werden konnten. Dem Käufer sei es daher freigestellt worden, diese entweder auf eigene Kosten selber zu verschrotten oder stehen zu lassen. Im Zeitpunkt des Abschlusses der Schlichtungsvereinbarung seien sich die Parteien der sich abzeichnenden Schwierigkeiten im Zusammenhang mit dem Abtransport bewusst gewesen. Auf Seiten des Käufers könne daher auch kein Irrtum vorgelegen haben. Deshalb seien der Beschwerdegegnerin keine Pflichtverletzungen vorzuwerfen und der Käufer wäre gemäss Ziffer 3 der Schlichtungsvereinbarung verpflichtet gewesen, die Anlage bis spätestens 31. April 2013 auszubauen. Ab 1. Mai 2013 sei er in Verzug und die Verkäuferin berechtigt gewesen, gemäss Art. 107 Abs. 2 OR vom Kaufvertrag zurückzutreten. Damit habe der Käufer keinen Anspruch auf die Anlage mehr gehabt. Da er seinen Anspruch nicht habe glaubhaft machen können, sei die Anordnung einer vorsorglichen Massnahme abzulehnen, ohne dass deren weitere Voraussetzungen noch geprüft werden müssten.</w:t>
      </w:r>
    </w:p>
    <w:p>
      <w:r>
        <w:rPr>
          <w:b/>
        </w:rPr>
        <w:t>E. 3.2</w:t>
      </w:r>
    </w:p>
    <w:p>
      <w:r>
        <w:t>Der Beschwerdeführer wirft der Vorinstanz in verschiedener Hinsicht eine Verletzung des rechtlichen Gehörs ( Art. 29 Abs. 2 BV ) sowie Willkür ( Art. 9 BV ) vor.</w:t>
      </w:r>
    </w:p>
    <w:p>
      <w:r>
        <w:rPr>
          <w:b/>
        </w:rPr>
        <w:t>E. 3.2.1</w:t>
      </w:r>
    </w:p>
    <w:p>
      <w:r>
        <w:t>Er erblickt eine Verletzung des Gehörsanspruchs darin, dass die Vorinstanz seine Ausführungen zum Hintergrund der Vergleichsvereinbarung nicht gewürdigt habe.</w:t>
      </w:r>
    </w:p>
    <w:p>
      <w:r>
        <w:t>Der Anspruch auf rechtliches Gehör ( Art. 29 Abs. 2 BV ) verlangt insbesondere, dass die Gerichte die rechtserheblichen Vorbringen der Parteien anhören und bei der Entscheidfindung berücksichtigen ( BGE 134 I 83 E. 4.1 S. 88). Damit sich die Parteien ein Bild über die Erwägungen des Gerichts machen können, ist sein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 setzt und jedes einzelne Vorbringen ausdrücklich widerlegt. Es genügt, wenn der Entscheid gegebenenfalls sachgerecht angefochten werden kann ( BGE 134 I 83 E. 4.1 S. 88; 133 III 439 E. 3.3 S. 445 ; 129 I 232 E. 3.2 S. 236; je mit Hinweisen). Vorliegend war es dem Beschwerdeführer ohne weiteres möglich, das Urteil des Obergerichts sachgerecht anzufechten. Die Rüge der Gehörsverletzung ist unbegründet.</w:t>
      </w:r>
    </w:p>
    <w:p>
      <w:r>
        <w:rPr>
          <w:b/>
        </w:rPr>
        <w:t>E. 3.2.2</w:t>
      </w:r>
    </w:p>
    <w:p>
      <w:r>
        <w:t>Als willkürlich rügt der Beschwerdeführer die Feststellung der Vorinstanz, wonach neben der Schlichtungsvereinbarung vom 19./20. April 2012, die den Kaufvertrag vom 6. Mai 2011 zum Teil ergänzte bzw. abänderte, keine weiteren Zusicherungen oder Abmachungen nachgewiesen seien. Er macht geltend, in den von ihm mit der Beschwerde eingereichten Akten 4a, 4b und 5 sei zugesichert worden, dass auch die Tanks "durch die Montageöffnungen und folglich auch durch das Aussentor passen würden". Er beruft sich darauf, die entsprechenden Vorbringen bereits im erst- und zweitinstanzlichen Verfahren gemacht zu haben. An der von ihm angegebenen Stelle in der Berufung an das Obergericht findet sich zwar die Behauptung einer entsprechenden Zusicherung, jedoch ohne weitere Substanziierung und ohne Angabe der Aktenbelege. Das genügt nicht für eine Sachverhaltsrüge (vgl. E. 2.2). Bereits aus diesem Grund ist auf dieses Vorbringen nicht einzutreten.</w:t>
      </w:r>
    </w:p>
    <w:p>
      <w:r>
        <w:t>Selbst wenn darauf einzutreten wäre, könnte man der Vorinstanz diesbezüglich offensichtlich keine Willkür vorwerfen. Der Beschwerdeführer beruft sich mit dem Hinweis auf die genannten Aktenstücke nicht auf eine eigenständige, neben dem ursprünglichen Vertrag bzw. der Schlichtungsvereinbarung bestehende Zusicherung. Vielmehr macht er damit geltend, er habe aufgrund dieser Aktenstücke nach Treu und Glauben davon ausgehen dürfen, dass die (bestehenden) Öffnungen genügten. Die Vorinstanz wies aber zu Recht darauf hin, dass die Parteien in Ziffer 8 der Schlichtungsvereinbarung ausdrücklich festhielten, dass es "grosse Tanks" gebe, "die nicht durch die bestehenden Öffnungen ausgebaut werden können". Den Parteien sei somit klar gewesen, dass die bestehenden Öffnungen nicht genügten. Der Beschwerdeführer hält dem entgegen, es sei bei den in Ziffer 8 erwähnten "grossen Tanks" um jene elf Tanks gegangen, die in Ziffer 6 des ursprünglichen Kaufvertrags erwähnt wurden und bei denen die Parteien von Anfang an die Meinung gehabt hätten, dass sie nicht als Ganzes aus dem Gebäude entfernt werden könnten. Die Vorinstanz habe den Hintergrund der Schlichtungsvereinbarung völlig falsch verstanden und die Ausgangslage, wie sie durch den ursprünglichen Kaufvertrag gegeben war, namentlich auch sein wirtschaftliches Interesse an den wertvollen 74 Occasionstanks, völlig ausgeblendet. Es trifft zu, dass die Vorinstanz entscheidend auf den Wortlaut der Schlichtungsvereinbarung abstellte. Jedoch kann ihr angesichts des klaren Wortlauts von Ziffer 8 keine Willkür vorgeworfen werden.</w:t>
      </w:r>
    </w:p>
    <w:p>
      <w:r>
        <w:rPr>
          <w:b/>
        </w:rPr>
        <w:t>E. 3.2.3</w:t>
      </w:r>
    </w:p>
    <w:p>
      <w:r>
        <w:t>Als Verletzung des rechtlichen Gehörs rügt der Beschwerdeführer sodann, dass die Vorinstanz auf eine Offerte der Firma N.________ vom 28. Januar 2013 für einen Ausbau der Pressen abstellte, obwohl er bestritten habe, dass ihm diese eine solche Offerte gemacht habe.</w:t>
      </w:r>
    </w:p>
    <w:p>
      <w:r>
        <w:t>Bei dieser Rüge geht es in Wirklichkeit nicht um eine Verletzung des Gehöranspruchs; jedenfalls begründet der Beschwerdeführer nicht, worin denn die angebliche Gehörsverletzung genau bestanden haben soll. Vielmehr enthält auch diese Rüge den Vorwurf einer fehlerhaften Sachverhaltsfeststellung. Beim von der Vorinstanz zitierten Aktenbeleg handelt es sich um eine an den Beschwerdeführer adressierte Offerte. Dieser beruft sich auf eine Stelle in der erstinstanzlichen Stellungnahme und Widerklageantwort. Er behauptet aber selber nicht, dass er entsprechende Bestreitungen auch im vorinstanzlichen Verfahren vorgebracht hat. Es fehlen daher die Voraussetzungen, um den Sachverhalt - wozu auch das Prozessgeschehen gehört ( BGE 140 III 16 E. 1.3.1 S. 17 f.) - zu ergänzen. Dass die Vorinstanz unter diesen Umständen auf den Wortlaut der Offerte abstellte, welche die Adresse des Beschwerdeführers nennt und unter "Ihr Zeichen " seinen Namen angibt, und daher davon ausging, er habe diese Offerte erhalten, ist nicht willkürlich.</w:t>
      </w:r>
    </w:p>
    <w:p>
      <w:r>
        <w:t>Im Zusammenhang mit dem Ausbau der Pressen rügt der Beschwerdeführer sodann als willkürlich die Feststellung der Vorinstanz, wonach es nicht zu den Pflichten der Beschwerdegegnerin gehört habe, für Abstützungen zu sorgen. Nachdem der Beschwerdeführer selbst angibt, die Stützmassnahmen seien im Zusammenhang mit den Gebäudeöffnungen (Montageöffnung und Aussentor) gestanden und die Vorinstanz nach dem Gesagten willkürfrei davon ausgehen durfte, die Beschwerdegegnerin sei gemäss Ziffer 7 der Schlichtungsvereinbarung im Hinblick auf die Wegschaffung der Pressen nicht zu Erweiterungen der Gebäudeöffnungen verpflichtet gewesen, weil "bauliche Veränderungen " seit dem seinerzeitigen Einbau nicht nachgewiesen wurden, ist die Verneinung einer Abstützungsverpflichtung der Beschwerdegegnerin folgerichtig und jedenfalls nicht willkürlich.</w:t>
      </w:r>
    </w:p>
    <w:p>
      <w:r>
        <w:rPr>
          <w:b/>
        </w:rPr>
        <w:t>E. 3.3</w:t>
      </w:r>
    </w:p>
    <w:p>
      <w:r>
        <w:t>Nachdem den Sachverhaltsrügen des Beschwerdeführers nicht zu folgen ist, gehen seine Vorbringen unter dem Titel "</w:t>
      </w:r>
    </w:p>
    <w:p>
      <w:r>
        <w:t>Generelle rechtliche Ausführungen " betreffend Unmöglichkeit, Schuldnerverzug der Verkäuferin, Teilnichtigkeit der Schlichtungsvereinbarung bzw. Täuschung/Irrtum ins Leere. Trotz wortreicher Ausführungen zu Irrtum und Täuschung setzt er sich zudem mit dem entscheidenden Argument der Vorinstanz nicht auseinander. Diese wies zu Recht darauf hin, dass die Schlichtungsvereinbarung in einem Zeitpunkt abgeschlossen wurde, in welchem sich die Parteien über die Schwierigkeiten im Zusammenhang mit dem Abtransport bewusst waren. Mangels genügender Rüge (vgl. E. 2.1) kann darauf daher nicht eingetreten werden.</w:t>
      </w:r>
    </w:p>
    <w:p>
      <w:r>
        <w:t>Die Vorinstanz verletzte somit kein Bundesrecht, wenn sie die Glaubhaftmachung eines zivilrechtlichen Anspruchs als misslungen erachtete und das Gesuch um ein vorsorgliches Veräusserungsverbot betreffend die Kaufgegenstände abwies.</w:t>
      </w:r>
    </w:p>
    <w:p>
      <w:r>
        <w:rPr>
          <w:b/>
        </w:rPr>
        <w:t>E. 4</w:t>
      </w:r>
    </w:p>
    <w:p>
      <w:r>
        <w:t>Abgewiesen wurde im angefochtenen Entscheid auch der Antrag, im Sinn einer vorsorglichen Beweisführung gemäss Art. 158 Abs. 1 lit. b ZPO eine Expertise zur Machbarkeit der Ausschaffung der Kaufobjekte einzuholen. Die Vorinstanz stellte fest, eine vorsorgliche Beweisführung könne nur mit Blick auf einen konkreten materiellrechtlichen Anspruch verlangt werden. Es müsse glaubhaft gemacht werden, dass ein Sachverhalt vorliege, der einen solchen Anspruch gewähre und zu dessen Beweis das abzunehmende Beweismittel dienen kann. Nachdem ein solcher materiellrechtlicher Anspruch gerade nicht glaubhaft gemacht werden konnte, sei auch das Gesuch um vorsorgliche Beweisführung abzuweisen.</w:t>
      </w:r>
    </w:p>
    <w:p>
      <w:r>
        <w:t>Diese Beurteilung, die sich auf die vom Bundesgericht zu Art. 158 Abs. 1 lit. b ZPO entwickelten Kriterien stützt ( BGE 140 III 12 E. 3.3.3 S. 13 f.; 140 III 16 E. 2.2.2 S. 19 f.; 138 III 76 E. 2.4.2 S. 81), ist nicht zu beanstanden. Der Beschwerdeführer setzt sich damit nicht auseinander. Auf seine Rüge, die Ausführungen der Vorinstanz zur vorsorglichen Beweisführung seien willkürlich und beinhalteten eine Verweigerung des rechtlichen Gehörs, ist nicht einzutreten.</w:t>
      </w:r>
    </w:p>
    <w:p>
      <w:r>
        <w:rPr>
          <w:b/>
        </w:rPr>
        <w:t>E. 5</w:t>
      </w:r>
    </w:p>
    <w:p>
      <w:r>
        <w:t>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