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565/2020 vom 3. Mai 2021</w:t>
      </w:r>
    </w:p>
    <w:p>
      <w:r>
        <w:t>Bundesgericht, 2021-05-03, DE</w:t>
      </w:r>
    </w:p>
    <w:p>
      <w:r>
        <w:rPr>
          <w:b/>
        </w:rPr>
        <w:t xml:space="preserve">Quelle: </w:t>
      </w:r>
      <w:r>
        <w:t>https://mcp.opencaselaw.ch/entscheid/bger_4A_565_2020</w:t>
      </w:r>
    </w:p>
    <w:p>
      <w:r>
        <w:t>FR: TF 4A 565/2020 du 3 mai 2021</w:t>
      </w:r>
    </w:p>
    <w:p>
      <w:r>
        <w:t>IT: TF 4A 565/2020 del 3 maggio 2021</w:t>
      </w:r>
    </w:p>
    <w:p>
      <w:pPr>
        <w:pStyle w:val="Heading2"/>
      </w:pPr>
      <w:r>
        <w:t>Regeste</w:t>
      </w:r>
    </w:p>
    <w:p>
      <w:r>
        <w:t>Krankentaggeldversicherung VVG; Rückzug | Vertragsrecht</w:t>
      </w:r>
    </w:p>
    <w:p>
      <w:pPr>
        <w:pStyle w:val="Heading2"/>
      </w:pPr>
      <w:r>
        <w:t>Volltext</w:t>
      </w:r>
    </w:p>
    <w:p>
      <w:r>
        <w:t>Bundesgericht I. Zivilrechtliche Abteilung 03.05.2021 4A 565/2020 (4A_565/2020) Tribunal fédéral Ire Cour de droit civil 03.05.2021 4A 565/2020 (4A_565/2020) Tribunale federale I Corte di diritto civile 03.05.2021 4A 565/2020 (4A_565/2020)</w:t>
      </w:r>
    </w:p>
    <w:p>
      <w:r>
        <w:t>Krankentaggeldversicherung VVG; Rückzug | Vertragsrecht</w:t>
      </w:r>
    </w:p>
    <w:p>
      <w:r>
        <w:t>Bundesgericht Tribunal fédéral Tribunale federale Tribunal federal 4A_565/2020 Verfügung vom 3. Mai 2021 I. zivilrechtliche Abteilung Besetzung Bundesrichterin Kiss, präsidierendes Mitglied, Gerichtsschreiber Widmer. Verfahrensbeteiligte A.A.________, Beschwerdeführer, gegen B.________ AG, Beschwerdegegnerin. Gegenstand Krankentaggeldversicherung VVG; Rückzug, Beschwerde gegen den Entscheid des Verwaltungsgerichts des Kantons Schwyz, Kammer II, vom 16. September 2020 (II 2018 21). In Erwägung, dass B.A.________ mit Eingabe vom 26. Oktober 2020 im Namen ihres Ehemannes, A.A.________ (Beschwerdeführer), Beschwerde gegen den Entscheid des Verwaltungsgerichts des Kantons Schwyz vom 16. September 2020 erhob; dass die Kindes- und Erwachsenenschutzbehörde (KESB) U.________ der Rechtsmittelergreifung mit Verfügung vom 27. November 2020 zustimmte; dass B.A.________ mit Schreiben vom 30. April 2021 namens des Beschwerdeführers mitteilte, die Parteien hätten über den Gegenstand des Beschwerdeverfahrens einen Vergleich abgeschlossen, der von der KESB U.________ mit Beschluss vom 23. April 2021 genehmigt worden sei, und sie ziehe die Beschwerde zurück; dass das Verfahren als durch Rückzug der Beschwerde erledigt abzuschreiben ist ( Art. 32 Abs. 2 BGG ); dass der Beschwerdeführer kostenpflichtig ist ( Art. 66 Abs. 1 - 3 BGG ); dass der nicht durch einen extern mandatierten Anwalt vertretenen Beschwerdegegnerin keine Parteientschädigung zuzusprechen ist ( Art. 68 Abs. 1 BGG ; BGE 135 III 127 E. 4 S. 136; 133 III 439 E. 4); verfügt das präsidierende Mitglied: 1. Das Verfahren wird infolge Rückzugs der Beschwerde abgeschrieben. 2. Die Gerichtskosten von Fr. 500.-- werden dem Beschwerdeführer auferlegt. 3. Diese Verfügung wird den Parteien und dem Verwaltungsgericht des Kantons Schwyz, Kammer II, schriftlich mitgeteilt. Lausanne, 3. Mai 2021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