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4A_565/2012 vom 21. März 2013</w:t>
      </w:r>
    </w:p>
    <w:p>
      <w:r>
        <w:t>Bundesgericht, 2013-03-21, DE</w:t>
      </w:r>
    </w:p>
    <w:p>
      <w:r>
        <w:rPr>
          <w:b/>
        </w:rPr>
        <w:t xml:space="preserve">Quelle: </w:t>
      </w:r>
      <w:r>
        <w:t>https://mcp.opencaselaw.ch/entscheid/bger_4A_565_2012</w:t>
      </w:r>
    </w:p>
    <w:p>
      <w:r>
        <w:t>FR: TF 4A_565/2012 du 21 mars 2013</w:t>
      </w:r>
    </w:p>
    <w:p>
      <w:r>
        <w:t>IT: TF 4A_565/2012 del 21 marzo 2013</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unter Vorbehalt einer rechtsgenügenden Begründung (Art. 42 Abs. 2 i.V.m. Art. 106 Abs. 2 BGG ) einzutreten.</w:t>
      </w:r>
    </w:p>
    <w:p>
      <w:r>
        <w:rPr>
          <w:b/>
        </w:rPr>
        <w:t>E. 2</w:t>
      </w:r>
    </w:p>
    <w:p>
      <w:r>
        <w:t>Der Beschwerdeführer rügt, die Vorinstanz habe zu Unrecht eine Vertrauenshaftung mit der Begründung verneint, die Beschwerdegegnerin habe keine Schutzpflichten verletzt.</w:t>
      </w:r>
    </w:p>
    <w:p>
      <w:r>
        <w:rPr>
          <w:b/>
        </w:rPr>
        <w:t>E. 2.1</w:t>
      </w:r>
    </w:p>
    <w:p>
      <w:r>
        <w:t>Die Vorinstanz hat ausgeführt, eine Sonderverbindung zwischen den Parteien sei zu bejahen, wenn auch eine eher lose. Entsprechend rechtfertige es sich jedenfalls nicht, die Aufklärungs- und Schutzpflichten der Beschwerdegegnerin besonders weit zu fassen. Die Vertrauenshaftung biete weiter keinen Schutz vor unüblichen Gefahren. Entsprechend ende die Verpflichtung der Bank zum Schutz des Kunden dort, wo die Gefahr aussergewöhnlich sei, wie etwa bei einer ausgeklügelten betrügerischen Inszenierung, die auch von den autorisierten Bankangestellten nicht durchschaut werde. Kunden dürften nicht generell darauf vertrauen, dass sie in den Bankräumen nicht auf Betrüger träfen, die sich als andere Personen - etwa Bankpersonal - ausgeben würden. Die Angestellte E.________ wäre zwar verpflichtet gewesen, in ihrer Gegenwart geäusserte unzutreffende Behauptungen zur Funktion von D.________ oder C.________ zu korrigieren. Mangels solcher Behauptungen in ihrer Anwesenheit habe sie keinerlei Anlass zur Klarstellung gehabt. Die Bank sei weiter in den Verkauf nicht involviert gewesen und die Anwesenden hätten sich dem Anschein nach gut gekannt, womit E.________ auch nicht verpflichtet gewesen sei, diese einander vorzustellen. Die Bank habe nicht an Stelle ihrer Kunden die Identität und Seriosität derer Geschäftspartner abzuklären. Auch das aktive Verhalten der Beschwerdegegnerin sei nicht geeignet gewesen, ein konkretes Individualvertrauen beim Beschwerdeführer zu wecken. Das Danebenstehen von E.________ bei der Vorstellungsrunde habe der Beschwerdeführer nicht so verstehen dürfen, dass es sich bei C.________ und D.________ um Angestellte der Bank handle. Dieser Eindruck sei von den Betrügern erweckt worden.</w:t>
      </w:r>
    </w:p>
    <w:p>
      <w:r>
        <w:rPr>
          <w:b/>
        </w:rPr>
        <w:t>E. 2.2</w:t>
      </w:r>
    </w:p>
    <w:p>
      <w:r>
        <w:t>Dagegen bringt der Beschwerdeführer vor, die Vorinstanz habe bei ihrer Argumentation verschiedene Tatsachen übersehen. Insbesondere sei zu berücksichtigen, dass die Beschwerdegegnerin den Betrügern ihre der Öffentlichkeit nicht zugänglichen Räumlichkeiten zur Verfügung gestellt habe, dass der bankfremde C.________ die Türe geöffnet habe, dass E.________ passiv hinter dem Tresen verblieben und den Betrügern am Nachmittag ein weiterer Raum zur Verfügung gestellt worden sei. Die Beschwerdegegnerin habe damit einen entscheidenden, unverzichtbaren Beitrag dazu geleistet, dass sich C.________ und D.________ erfolgreich als Bankmitarbeiter hätten darstellen können. Nach Ansicht des Beschwerdeführers hätte die Beschwerdeführerin die Personen identifizieren müssen, denen sie ihre der Öffentlichkeit nicht zugänglichen Räumlichkeiten zur Verfügung gestellt habe. Weiter hätte sie nachfragen müssen, für welche Zwecke diese benutzt würden. Schliesslich hätte sie durch geeignete Vorkehrungen wie Empfang durch das Bankpersonal, Vorstellung sämtlicher Anwesender und allenfalls Videoüberwachung des Hauptzugangs sicherstellen müssen, dass sich bankfremde Drittpersonen nicht frei bewegen und sich so als Bankmitarbeiter ausgeben könnten.</w:t>
      </w:r>
    </w:p>
    <w:p>
      <w:r>
        <w:rPr>
          <w:b/>
        </w:rPr>
        <w:t>E. 2.3</w:t>
      </w:r>
    </w:p>
    <w:p>
      <w:r>
        <w:t>Die Haftung aus erwecktem Vertrauen ist zwischen Vertrag und Delikt angesiedelt ( BGE 134 III 390 E. 4.3.2 S. 395). Es geht dabei um die Haftung eines vertragsfremden Dritten, die zum Tragen kommt, wenn der Dritte zunächst schutzwürdiges Vertrauen erweckt und dieses anschliessend treuwidrig enttäuscht ( BGE 133 III 449 E. 4.1 S. 451; 130 III 345 E. 2.1 S. 349 mit Hinweisen). Die Vertrauenshaftung setzt nach der bundesgerichtlichen Rechtsprechung voraus, dass die Beteiligten in eine so genannte "rechtliche Sonderverbindung" zueinander getreten sind, die erst rechtfertigt, die aus Treu und Glauben hergeleiteten Schutz- und Aufklärungspflichten greifen zu lassen ( BGE 134 III 390 E. 4.3.2 S. 395). Art und Umfang der sich aus Treu und Glauben ergebenden Verhaltenspflichten sind nach den gesamten Umständen des Einzelfalls zu beurteilen ( BGE 130 III 345 E. 2.2 S. 350 f.; 120 II 331 E. 5a S. 337). Das Bundesgericht knüpft die Haftung aus erwecktem und enttäuschtem Vertrauen an strenge Voraussetzungen. Schutz verdient nicht, wer bloss Opfer seiner eigenen Unvorsichtigkeit und Vertrauensseligkeit oder der Verwirklichung allgemeiner Geschäftsrisiken wird, sondern nur, wessen berechtigtes Vertrauen missbraucht wird ( BGE 133 III 449 E. 4.1 S. 451; 124 III 297 E. 6a S. 304).</w:t>
      </w:r>
    </w:p>
    <w:p>
      <w:r>
        <w:rPr>
          <w:b/>
        </w:rPr>
        <w:t>E. 2.4</w:t>
      </w:r>
    </w:p>
    <w:p>
      <w:r>
        <w:t>Es kann offen bleiben, ob zwischen den Parteien überhaupt eine Sonderverbindung bestand, da eine Verletzung allfälliger Verhaltenspflichten durch die Beschwerdegegnerin ohnehin zu verneinen ist. Die Behauptung des Beschwerdeführers, C.________ hätte die Türe geöffnet, lässt sich nicht auf den festgestellten Sachverhalt stützen. Aus diesem geht lediglich hervor, dass C.________ die Eheleute A.________ und B.________ an der Türe empfangen habe. Es trifft zwar zu, dass bei den Eheleuten A.________ dadurch der Eindruck entstehen konnte, die hinter dem Tresen stehende E.________ sei lediglich eine untergeordnete Mitarbeiterin. Wie die Vorinstanz richtig ausgeführt hat, hatte E.________ aber keinen Anlass, sich in die Begrüssung der übrigen Anwesenden einzumischen. Denn diese erweckten den Eindruck, dass sie sich bereits kannten bzw. erwarteten. Der Kontakt mit B.________ und übrigen Mitgliedern der Betrügerbande wurde denn auch bereits Wochen vor der Vertragsunterzeichnung hergestellt. Aus der Tatsache, dass die Beschwerdegegnerin Räumlichkeiten zur Verfügung stellte, kann der Beschwerdeführer nichts zu seinen Gunsten ableiten. Einerseits hatte die Beschwerdegegnerin ein berechtigtes eigenes Interesse daran, da ihr in Aussicht gestellt wurde, die Eheleute A.________ als neue Kunden zu gewinnen. Nach Vertragsschluss konnte E.________ denn auch ein entsprechendes Konto eröffnen. Die Beschwerdegegnerin musste somit bei der Bitte, den Vertragsparteien Räumlichkeiten zur Verfügung zu stellen, nicht misstrauisch werden. Andererseits muss sich die Beschwerdegegnerin unter diesen Umständen nicht anrechnen lassen, was sich ohne Anwesenheit von Angestellten in den Räumlichkeiten abspielte. Der Beschwerdegegnerin kann somit keine Verletzung von Verhaltenspflichten vorgeworfen werden. Der Beschwerdeführer wurde nicht von ihr getäuscht, sondern von der Betrügerbande. Die Beschwerde erweist sich damit als unbegründet.</w:t>
      </w:r>
    </w:p>
    <w:p>
      <w:r>
        <w:rPr>
          <w:b/>
        </w:rPr>
        <w:t>E. 3</w:t>
      </w:r>
    </w:p>
    <w:p>
      <w:r>
        <w:t>Nach dem Gesagten ist die Beschwerde abzuweisen.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