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4A_564/2023 vom 26. Januar 2024</w:t>
      </w:r>
    </w:p>
    <w:p>
      <w:r>
        <w:t>Bundesgericht, 2024-01-26, FR</w:t>
      </w:r>
    </w:p>
    <w:p>
      <w:r>
        <w:rPr>
          <w:b/>
        </w:rPr>
        <w:t xml:space="preserve">Quelle: </w:t>
      </w:r>
      <w:r>
        <w:t>https://mcp.opencaselaw.ch/entscheid/bger_4A_564_2023</w:t>
      </w:r>
    </w:p>
    <w:p>
      <w:r>
        <w:t>FR: TF 4A_564/2023 du 26 janvier 2024</w:t>
      </w:r>
    </w:p>
    <w:p>
      <w:r>
        <w:t>IT: TF 4A_564/2023 del 26 gennaio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Le recourant n'était pas domicilié en Suisse au moment déterminant. Les dispositions du chapitre 12 de la LDIP sont donc applicables ( art. 176 al. 1 LDIP ).</w:t>
      </w:r>
    </w:p>
    <w:p>
      <w:r>
        <w:rPr>
          <w:b/>
        </w:rPr>
        <w:t>E. 3</w:t>
      </w:r>
    </w:p>
    <w:p>
      <w:r>
        <w:t>Sauf exception qui n'entre pas en ligne de compte en l'espèce, le recours en matière civile dirigé contre une sentence arbitrale n'a en principe qu'un caractère cassatoire (cf. l' art. 77 al. 2 LTF qui exclut l'application de l' art. 107 al. 2 LTF dans la mesure où cette dernière disposition permet au Tribunal fédéral de statuer sur le fond de l'affaire). Le recourant méconnaît la nature cassatoire du recours lorsqu'il demande au Tribunal fédéral de réformer certains chiffres du dispositif de la sentence attaquée. Dans la mesure où l'objet de ses conclusions va, en partie, au-delà de l'annulation de cette sentence, son recours est dès lors irrecevable.</w:t>
      </w:r>
    </w:p>
    <w:p>
      <w:r>
        <w:t>Pour le reste, qu'il s'agisse de l'objet du recours, de la qualité pour recourir ou encore du respect du délai de recours, aucune de ces conditions de recevabilité ne fait problème en l'espèce. Rien ne s'oppose donc à l'entrée en matière. Demeure réservé l'examen de la recevabilité des critiques formulées par l'intéressé.</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divisé en deux branches, le recourant soutient que la sentence attaquée est contraire à l'ordre public matériel ( art. 190 al. 2 let . e LDIP). Il se plaint, en premier lieu, de ce que l'arbitre aurait méconnu le principe de la proportionnalité. En second lieu, il soutient que la sentence entreprise consacrerait une violation du principe de l'interdiction de la discrimination.</w:t>
      </w:r>
    </w:p>
    <w:p>
      <w:r>
        <w:t>Avant d'examiner la recevabilité et, le cas échéant, le mérite des critiques formulées au soutien de ce moyen, il convient de rappeler ce que recouvre la notion d'ordre public visée par la disposition susmentionnée.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t>Pour juger si la sentence est compatible avec l'ordre public matériel,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5.2</w:t>
      </w:r>
    </w:p>
    <w:p>
      <w:r>
        <w:t>C'est le lieu de préciser encore que la violation des dispositions de la Convention européenne des droits de l'homme (CEDH) ou de la Constitution fédérale de la Confédération suisse (Cst.) ne compte pas au nombre des griefs limitativement énumérés par l' art. 190 al. 2 LDIP . Il n'est dès lors pas possible d'invoquer directement une telle violation. Les principes qui sous-tendent les dispositions de la CEDH ou de la Cst. peuvent cependant être pris en compte dans le cadre de l'ordre public afin de concrétiser cette notion ( ATF 142 III 360 consid. 4.1.2).</w:t>
      </w:r>
    </w:p>
    <w:p>
      <w:r>
        <w:rPr>
          <w:b/>
        </w:rPr>
        <w:t>E. 5.3</w:t>
      </w:r>
    </w:p>
    <w:p>
      <w:r>
        <w:t>Dans son mémoire de recours, l'intéressé prétend, en premier lieu, que le principe de la proportionnalité fait partie de l'ordre public matériel visé par l' art. 190 al. 2 let . e LDIP. Il procède dans la foulée à une analyse de son propre cru, fondée sur la jurisprudence suisse rendue en matière constitutionnelle, de la nécessité et de la proportionnalité au sens étroit de la sanction qui lui a été infligée. A cet égard, le recourant juge la durée de la suspension disproportionnée, dès lors qu'il n'était âgé que de dix-sept ans lorsqu'il a subi le test antidopage qui s'est révélé positif et qu'il existerait un "déséquilibre important" entre l'intérêt tendant à la préservation de l'équité des compétitions et ses propres intérêts. A son avis, une suspension d'une durée de deux ans se révèle suffisante.</w:t>
      </w:r>
    </w:p>
    <w:p>
      <w:r>
        <w:t>En second lieu, le recourant affirme qu'il est discriminatoire de sanctionner un athlète mineur découvrant le monde du sport de haut niveau de la même manière qu'un sportif majeur, ce d'autant qu'il n'avait jamais subi de contrôle antidopage par le passé. Il soutient, par ailleurs, que l'arbitre aurait dû tenir compte du fait que le produit contenant la substance interdite peut être acquis librement dans l'État dans lequel il est domicilié et prendre en considération le fait qu'il n'a reçu aucune éducation relative aux règles antidopage de la part de sa fédération nationale.</w:t>
      </w:r>
    </w:p>
    <w:p>
      <w:r>
        <w:rPr>
          <w:b/>
        </w:rPr>
        <w:t>E. 5.4.1</w:t>
      </w:r>
    </w:p>
    <w:p>
      <w:r>
        <w:t>L'argumentation du recourant, ainsi résumée, appelle une remarque préalable de la Cour de céans. Force est, en effet, de rappeler ici que le moyen pris de l'incompatibilité avec l'ordre public matériel, au sens de l' art. 190 al. 2 let . e LDIP et de la jurisprudence y afférente, n'est pas recevable dans la mesure où il tend uniquement à établir la contrariété entre la sentence attaquée et une norme du droit suisse, fût-elle de rang constitutionnel. Dès lors, toutes les considérations relatives aux art. 5 al. 2 et 8 al. 2 Cst. et aux exigences qui en découlent sur le plan du droit interne suisse sont dénuées de pertinence. La seule question à résoudre ici est celle de savoir si l'arbitre, au regard de l'ensemble des circonstances de la cause en litige, a méconnu ou non l'ordre public matériel en infligeant au recourant une suspension d'une durée de quatre ans. Une réponse positive à cette question suppose que le résultat auquel la sentence attaquée a abouti, et non pas déjà les motifs qui sous-tendent celle-ci, soit incompatible avec l'ordre public.</w:t>
      </w:r>
    </w:p>
    <w:p>
      <w:r>
        <w:rPr>
          <w:b/>
        </w:rPr>
        <w:t>E. 5.4.2</w:t>
      </w:r>
    </w:p>
    <w:p>
      <w:r>
        <w:t>En matière de sanctions infligées dans le domaine du sport, c'est le lieu de rappeler que le Tribunal fédéral n'intervient à l'égard des décisions rendues en vertu d'un pouvoir d'appréciation que si elles aboutissent à un résultat manifestement injuste ou à une iniquité choquante (arrêts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w:t>
      </w:r>
    </w:p>
    <w:p>
      <w:r>
        <w:t>in casu , puisqu'il s'exerce dans le cadre du grief de contrariété à l'ordre public matériel, notion plus restrictive que celle d'arbitraire. Il convient de garder cela à l'esprit lors de l'analyse des critiques élevées contre la suspension infligée au recourant.</w:t>
      </w:r>
    </w:p>
    <w:p>
      <w:r>
        <w:rPr>
          <w:b/>
        </w:rPr>
        <w:t>E. 5.4.3</w:t>
      </w:r>
    </w:p>
    <w:p>
      <w:r>
        <w:t>Considérées à la lumière de ces règles et principes, dans le cadre prédéfini du pouvoir d'examen dont jouit la Cour de céans, les critiques émises par le recourant ne révèlent aucune contrariété à l'ordre public matériel en ce qui concerne la sanction qu'il s'est vu infliger par l'arbitre.</w:t>
      </w:r>
    </w:p>
    <w:p>
      <w:r>
        <w:t>Force est tout d'abord de relever que l'argumentation présentée par le recourant présente un caractère appellatoire marqué, de sorte que sa recevabilité apparaît des plus douteuses.</w:t>
      </w:r>
    </w:p>
    <w:p>
      <w:r>
        <w:t>Quoi qu'il en soit, la durée de la suspension n'est pas disproportionnée eu égard à l'ensemble des circonstances de la présente affaire. Dans la sentence attaquée, l'arbitre a relevé que l'intéressé prétendait avoir ingéré deux comprimés d'un produit dénommé ANSIMED en vue de perdre du poids et de pouvoir s'aligner dans sa catégorie de poids (athlètes ayant un poids inférieur ou égal à xxx kilogrammes) lors de la compétition prévue le 13 novembre 2021. Il a souligné que l'athlète concerné affirmait ignorer que le produit ingéré, en vente libre dans les pharmacies de son pays, contenait une substance interdite (furosémide), vu son jeune âge et étant donné que le produit concerné lui avait été recommandé par un entraîneur, qu'il n'avait reçu aucune formation en matière antidopage et qu'il n'avait encore jamais subi de contrôle antidopage. Cela étant, l'arbitre a jugé qu'il n'était pas crédible qu'un athlète concourant dans un sport où le poids conditionne le niveau des adversaires, et à qui on présentait un produit qui s'apparentait à tous les égards à un médicament dont l'effet, connu du recourant, était de permettre une perte de poids rapide, ne s'inquiète aucunement de savoir si ledit produit contenait une substance interdite. Il a considéré en outre que le recourant avait eu le temps de s'enquérir de la situation avant la prise du médicament concerné et a souligné que la substance interdite était mentionnée sur l'emballage du produit concerné, de telle sorte qu'une simple recherche sur internet lui aurait permis de clarifier les risques encourus. Le fait que le recourant était jeune et qu'il n'avait bénéficié d'aucune formation particulière en matière de réglementation antidopage n'était pas de nature à l'exonérer de ce devoir de vérification, compte tenu en particulier de son expérience puisqu'il avait déjà pris part à plusieurs compétitions internationales. L'arbitre a en outre observé que l'athlète avait fourni des explications changeantes au cours de la procédure, raison pour laquelle il n'était pas convaincu du fait qu'un entraîneur lui aurait conseillé la substance interdite. De toute manière, eu égard à la jurisprudence constante du TAS, il a estimé que l'éventuelle prescription d'un médicament à un athlète ne le dispensait pas de s'assurer dans toute la mesure du possible que le produit concerné ne contenait pas de substance interdite. En définitive, l'arbitre a estimé que le recourant connaissait les risques liés au produit qu'il avait ingéré et qu'il les avait manifestement ignorés, raison pour laquelle l'infraction à la réglementation antidopage devait être qualifiée d'intentionnelle. Se référant aux règles édictées par l'intimée, il a jugé que la durée de la période de suspension était, dans un tel cas de figure, de quatre ans (sentence, n. 71-99).</w:t>
      </w:r>
    </w:p>
    <w:p>
      <w:r>
        <w:t>Il appert ainsi que l'arbitre n'a négligé aucune circonstance pertinente et qu'il a bel et bien pris en considération les éléments invoqués par le recourant, à savoir son jeune âge, son absence de formation spécifique en matière de réglementation antidopage et la libre disponibilité du produit concerné dans les pharmacies de son pays. Il a toutefois exposé, de manière convaincante, les raisons pour lesquelles de tels arguments ne permettaient pas d'excuser le comportement adopté par le recourant, en insistant en particulier sur le fait que l'intéressé, nonobstant son jeune âge, était expérimenté car il avait pris part à plusieurs compétitions internationales. Le recourant ne remet pas véritablement en cause les éléments retenus par l'arbitre pour justifier la sanction qui lui a été infligée, mais se contente simplement d'insister sur les effets que peut entraîner la sanction litigieuse pour la suite de sa carrière. Ce faisant, et même à supposer que le principe de la proportionnalité fasse partie de l'ordre public visé par l' art. 190 al. 2 let . e LDIP, ce qui est pour le moins douteux, l'intéressé échoue manifestement à démontrer que la sanction prononcée à son encontre serait, vu sa durée, incompatible avec l'ordre public matériel, étant donné que la violation des règles antidopage est avérée et que l'intéressé a agi intentionnellement.</w:t>
      </w:r>
    </w:p>
    <w:p>
      <w:r>
        <w:t>Par ailleurs, la Cour de céans ne discerne pas en quoi la sentence attaquée porterait atteinte au principe de l'interdiction de la discrimination. A cet égard, force est tout d'abord de rappeler qu'il est douteux qu'un athlète puisse se plaindre d'une éventuelle violation du principe de discrimination lorsque la mesure incriminée est le fait d'une personne privée, étant donné que le principe en question ne produit pas d'effet horizontal direct sur les relations entre personnes privées ( ATF 147 III 49 consid. 9.4). Ensuite, la réglementation édictée par l'intimée prévoit une sanction identique pour les sportifs, indépendamment de leur âge ou de leur origine, jugeant ainsi manifestement que de tels critères ne sont pas pertinents en matière de lutte antidopage. Enfin, on relèvera que le recourant ne fournit aucun raison convaincante qui justifierait de lui réserver un traitement distinct de celui des athlètes majeurs. En l'occurrence, il faut en outre bien voir que l'intéressé avait presque atteint la majorité au moment des faits reprochés et qu'il était déjà expérimenté, puisqu'il avait pris part à plusieurs compétitions internationales. Partant, aucune raison objective ne commandait de le traiter différemment d'un autre sportif.</w:t>
      </w:r>
    </w:p>
    <w:p>
      <w:r>
        <w:t>Au vu de ce qui précède, la sanction infligée au recourant, entérinée par le TAS, n'apparaît pas incompatible avec l'ordre public matériel.</w:t>
      </w:r>
    </w:p>
    <w:p>
      <w:r>
        <w:rPr>
          <w:b/>
        </w:rPr>
        <w:t>E. 6</w:t>
      </w:r>
    </w:p>
    <w:p>
      <w:r>
        <w:t>Il s'ensuit le rejet du recours dans la mesure de sa recevabilité.</w:t>
      </w:r>
    </w:p>
    <w:p>
      <w:r>
        <w:t>Le recourant, qui succombe, devra payer les frais de la procédure fédérale ( art. 66 al. 1 LTF ). Il n'y a pas lieu d'allouer de dépens à l'intimée, dès lors que celle-ci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