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4A_563/2024 vom 27. Januar 2025</w:t>
      </w:r>
    </w:p>
    <w:p>
      <w:r>
        <w:t>Bundesgericht, 2025-01-27, DE</w:t>
      </w:r>
    </w:p>
    <w:p>
      <w:r>
        <w:rPr>
          <w:b/>
        </w:rPr>
        <w:t xml:space="preserve">Quelle: </w:t>
      </w:r>
      <w:r>
        <w:t>https://mcp.opencaselaw.ch/entscheid/bger_4A_563_2024</w:t>
      </w:r>
    </w:p>
    <w:p>
      <w:r>
        <w:t>FR: TF 4A_563/2024 du 27 janvier 2025</w:t>
      </w:r>
    </w:p>
    <w:p>
      <w:r>
        <w:t>IT: TF 4A_563/2024 del 27 gennaio 2025</w:t>
      </w:r>
    </w:p>
    <w:p>
      <w:pPr>
        <w:pStyle w:val="Heading2"/>
      </w:pPr>
      <w:r>
        <w:t>Erwägungen</w:t>
      </w:r>
    </w:p>
    <w:p>
      <w:r>
        <w:rPr>
          <w:b/>
        </w:rPr>
        <w:t>E. 1</w:t>
      </w:r>
    </w:p>
    <w:p>
      <w:r>
        <w:t>Am 9. Februar 2024 gewährte das Bezirksgericht Leuk und Westlich-Raron den Beschwerdegegnerinnen in der Betreibung Nr. xxx des Betreibungsamts Oberwallis für Fr. 53'411.-- nebst Zins zu 5 % seit dem 15. Oktober 2023 die definitive Rechtsöffnung. Gegen diesen Rechtsöffnungsentscheid reichte der Beschwerdeführer Beschwerde am Kantonsgericht Wallis ein. Das Kantonsgericht wies mit Entscheid vom 27. September 2024 die Beschwerde ab. Dagegen erhob der Beschwerdeführer mit Eingabe vom 25. Oktober 2024 (Datum Poststempel) Beschwerde an das Bundesgericht. Mit Verfügung vom 28. Oktober 2024 wurde das sinngemässe Gesuch des Beschwerdeführers um Gewährung der aufschiebenden Wirkung abgewiesen, da es nicht rechtsgenüglich begründet worden ist. Auf das Einholen von Vernehmlassungen zur Beschwerde wurde verzichtet.</w:t>
      </w:r>
    </w:p>
    <w:p>
      <w:r>
        <w:rPr>
          <w:b/>
        </w:rPr>
        <w:t>E. 2.1</w:t>
      </w:r>
    </w:p>
    <w:p>
      <w:r>
        <w:t>Beschwerden an das Bundesgericht sind hinreichend zu begründen, ansonsten darauf nicht eingetreten werden kann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Eingabe des Beschwerdeführers erfüllt diese Begründungsanforderungen offensichtlich nicht. Er schildert darin bloss seine Sicht der Dinge. Er geht indessen auf die Erwägungen der Vorinstanz nicht hinreichend konkret ein, geschweige denn zeigt er nachvollziehbar auf, welche Rechte die Vorinstanz mit ihrem Entscheid inwiefern verletzt haben soll. Auf die Beschwerde ist somit mangels hinreichender Begründung nicht einzutreten ( Art. 108 Abs. 1 lit. b BGG ).</w:t>
      </w:r>
    </w:p>
    <w:p>
      <w:r>
        <w:rPr>
          <w:b/>
        </w:rPr>
        <w:t>E. 4</w:t>
      </w:r>
    </w:p>
    <w:p>
      <w:r>
        <w:t>Bei diesem Ausgang des Verfahrens sind die Gerichtskosten dem Beschwerdeführer aufzuerlegen ( Art. 66 Abs. 1 BGG ). Die Beschwerdegegnerinnen haben keinen Anspruch auf eine Parteientschädigung, da ihnen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