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563/2021 vom 9. Februar 2023</w:t>
      </w:r>
    </w:p>
    <w:p>
      <w:r>
        <w:t>Bundesgericht, 2023-02-09, DE</w:t>
      </w:r>
    </w:p>
    <w:p>
      <w:r>
        <w:rPr>
          <w:b/>
        </w:rPr>
        <w:t xml:space="preserve">Quelle: </w:t>
      </w:r>
      <w:r>
        <w:t>https://mcp.opencaselaw.ch/entscheid/bger_4A_563_2021</w:t>
      </w:r>
    </w:p>
    <w:p>
      <w:r>
        <w:t>FR: TF 4A 563/2021 du 9 février 2023</w:t>
      </w:r>
    </w:p>
    <w:p>
      <w:r>
        <w:t>IT: TF 4A 563/2021 del 9 febbraio 2023</w:t>
      </w:r>
    </w:p>
    <w:p>
      <w:pPr>
        <w:pStyle w:val="Heading2"/>
      </w:pPr>
      <w:r>
        <w:t>Regeste</w:t>
      </w:r>
    </w:p>
    <w:p>
      <w:r>
        <w:t>Werkvertrag; Zwischenentscheid, | Obligationenrecht (allgemein)</w:t>
      </w:r>
    </w:p>
    <w:p>
      <w:pPr>
        <w:pStyle w:val="Heading2"/>
      </w:pPr>
      <w:r>
        <w:t>Erwägungen</w:t>
      </w:r>
    </w:p>
    <w:p>
      <w:r>
        <w:rPr>
          <w:b/>
        </w:rPr>
        <w:t>E. 1.1</w:t>
      </w:r>
    </w:p>
    <w:p>
      <w:r>
        <w:t>Die Beschwerde betrifft eine Zivilsache ( Art. 72 BGG ) und richtet sich gegen den Entscheid eines oberen kantonalen Gerichts, das gemäss Art. 6 ZPO als einzige Instanz entschieden hat ( Art. 75 Abs. 2 lit. b BGG ). Die Beschwerde ist unabhängig vom Streitwert zulässig ( Art. 74 Abs. 2 lit. b BGG ). Die Beschwerdeführerin ist mit ihren Anträgen unterlegen ( Art. 76 Abs. 1 BGG ) und die Frist zur Einreichung der Beschwerde ist eingehalten ( Art. 100 Abs. 1 BGG ).</w:t>
      </w:r>
    </w:p>
    <w:p>
      <w:r>
        <w:rPr>
          <w:b/>
        </w:rPr>
        <w:t>E. 1.2.1</w:t>
      </w:r>
    </w:p>
    <w:p>
      <w:r>
        <w:t>Der angefochtene Entscheid schliesst das Verfahren nicht im Sinne von Art. 90 BGG ab. Es ist kein End-, sondern ein Zwischenentscheid, der nicht den Ausstand oder die Zuständigkeit ( Art. 92 BGG ) betrifft. Gegen solche, andere selbstständig eröffnete Vor- und Zwischenentscheide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Entgegen dem deutschen und dem italienischen Wortlaut muss das durch den Endentscheid entfallende Beweisverfahren sowohl lang als auch kostspielig sein (vgl. Urteil 5A_297/2021 vom 29. Oktober 2021 E. 3.1). Die selbstständige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selbstständig anfechten, können sie ihn mit dem Endentscheid anfechten, soweit er sich auf dessen Inhalt auswirkt ( Art. 93 Abs. 3 BGG ; BGE 144 III 475 E. 1.2; 138 III 94 E. 2.2; 134 III 188 E. 2.2). Dementsprechend obliegt es der beschwerdeführenden Partei, darzutun, dass die Voraussetzungen von Art. 93 BGG erfüllt sind, soweit deren Vorliegen nicht offensichtlich in die Augen springt ( BGE 142 III 798 E. 2.2; 141 III 80 E. 1.2; 137 III 324 E. 1.1). Macht die beschwerdeführende Partei geltend, die Voraussetzungen von Art. 93 Abs. 1 lit. b BGG seien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sie die betreffenden Beweise im kantonalen Verfahren bereits angerufen oder entsprechende Anträge in Aussicht gestellt hat ( BGE 133 IV 288 E. 3.2; 118 II 91 E. 1a; Urteil 4A_288/2021 vom 13. Juli 2021 E. 2.1 mit Hinweisen). Das Bundesgericht prüft frei, ob die Voraussetzung, dass bei einer Gutheissung der Beschwerde ein bedeutender Aufwand an Zeit oder Kosten für ein weitläufiges Beweisverfahren erspart werden kann, erfüllt ist ( BGE 118 II 91 E. 1a; Urteil 4A_605/2021 vom 5. Mai 2022 E. 1.1).</w:t>
      </w:r>
    </w:p>
    <w:p>
      <w:r>
        <w:rPr>
          <w:b/>
        </w:rPr>
        <w:t>E. 1.3</w:t>
      </w:r>
    </w:p>
    <w:p>
      <w:r>
        <w:t>Die Beschwerdeführerin macht geltend, es liege ein selbstständig anfechtbarer Zwischenentscheid vor, weil die Gutheissung der Beschwerde sofort einen Endentscheid herbeiführen und damit einen bedeutenden Aufwand an Zeit oder Kosten für ein weitläufiges Beweisverfahren ersparen würde. Wäre die Vorinstanz richtigerweise zum Schluss gelangt, dass die Anwendung der beschwerdeführerischen AGB gültig vereinbart worden sei, so bestünde ein Haftungsausschluss seitens der Beschwerdeführerin für Mangelfolgeschäden. Da die Beschwerdegegnerin einzig solche Schäden geltend machte, wäre die Klage daher bei Gutheissung der Beschwerde abzuweisen. Mit ihrer Begründung zeigt die Beschwerdeführerin nicht rechtsgenüglich auf, inwiefern bei Gutheissung der Beschwerde ein langwieriges und kostspieliges Beweisverfahren erspart würde. Dies ergibt sich auch nicht ohne Weiteres aus dem angefochtenen Entscheid. Daraus erhellt im Gegenteil, dass die Vorinstanz über die Gewährleistungsfrage an sich bereits Beweis geführt hat. Sie erachtete gestützt auf schriftliche Unterlagen und Parteibefragungen als erstellt, dass die Parteien eine fünfjährige Gewährleistung vereinbart haben, wobei auch über deren Umfang gesprochen worden sein müsse. Die AGB der Beschwerdeführerin seien hingegen nicht Teil eines Konsenses gewesen. Somit ist allenfalls noch über die Mangelhaftigkeit oder -freiheit des von der Beschwerdeführerin gelieferten Stammlacks W.________ Beweis zu führen. Damit aber die gesetzlichen Voraussetzungen nach Art. 93 Abs. 1 lit. b BGG erfüllt sind, muss das Beweisverfahren in Bezug auf Dauer und Kosten erheblich von einem üblichen Prozess abweichen (Urteil 4A_605/2021 vom 5. Mai 2022 E. 1.2.2 mit Hinweisen). Dass dies vorliegend der Fall wäre, ist nicht ersichtlich oder seitens der Beschwerdeführerin hinreichend dargetan. Namentlich genügt hierzu nicht, dass allenfalls ein Gutachten zur Mangelhaftigkeit des Stammlacks W.________ einzuholen und acht Zeugen zu befragen sind, wobei dies nicht feststeht. Auch dass zwei Zeugen allenfalls rechtshilfeweise einzuvernehmen sind, begründet nicht per se ein ausserordentlich langwieriges oder kostspieliges Beweisverfahren. Aus dem angefochtenen Entscheid erhellt, dass die Zeugen bereits einmal einvernommen wurden und dies keine besonderen Probleme verursachte. Die Voraussetzungen nach Art. 93 Abs. 1 lit. b BGG sind daher nicht erfüllt. Es kann offen bleiben, ob das Bundesgericht, sollte es die Rechtsauffassung der Beschwerdeführerin teilen, einen verfahrensabschliessenden Endentscheid fällen könnte. Die Beschwerde ist unzulässig. Darauf ist nicht einzutreten.</w:t>
      </w:r>
    </w:p>
    <w:p>
      <w:r>
        <w:rPr>
          <w:b/>
        </w:rPr>
        <w:t>E. 2</w:t>
      </w:r>
    </w:p>
    <w:p>
      <w:r>
        <w:t>Ausgangsgemäss hat die Beschwerdeführerin die Gerichtskosten zu tragen. Sie hat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