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4A_563/2020 vom 25. November 2020</w:t>
      </w:r>
    </w:p>
    <w:p>
      <w:r>
        <w:t>Bundesgericht, 2020-11-25, DE</w:t>
      </w:r>
    </w:p>
    <w:p>
      <w:r>
        <w:rPr>
          <w:b/>
        </w:rPr>
        <w:t xml:space="preserve">Quelle: </w:t>
      </w:r>
      <w:r>
        <w:t>https://mcp.opencaselaw.ch/entscheid/bger_4A_563_2020</w:t>
      </w:r>
    </w:p>
    <w:p>
      <w:r>
        <w:t>FR: TF 4A_563/2020 du 25 novembre 2020</w:t>
      </w:r>
    </w:p>
    <w:p>
      <w:r>
        <w:t>IT: TF 4A_563/2020 del 25 novembre 2020</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Beim angefochtenen Nichteintretensentscheid, mit dem das Schiedsgericht das Verfahren beendet hat, handelt es sich um einen Endentscheid, der nach Art. 190 Abs. 2 IPRG mit Beschwerde angefochten werden kann.</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auch nicht ausgeschlossen, dass das Bundesgericht die Sache an das Schiedsgericht zurückweist (Urteile 4A_124/2020 vom 13. November 2020 E. 2.1; 4A_418/2019 vom 18. Mai 2020 E. 2.3; 4A_294/2019 vom 13. November 2019 E. 2.2).</w:t>
      </w:r>
    </w:p>
    <w:p>
      <w:r>
        <w:t>Der Antrag des Beschwerdeführers ist demnach zulässig. Auf die Beschwerde ist - vorbehältlich einer hinreichenden Begründung ( Art. 77 Abs. 3 BGG ) - einzutreten.</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Der Beschwerdeführer rügt eine Missachtung des Ordre public ( Art. 190 Abs. 2 lit. e IPRG ), bringt zur Begründung jedoch einzig vor, die angefochtene Entscheidung führe "zu einem Ergebnis, nämlich Beendigung des Verfahrens ohne den strukturierten Dialog", das mit "wesentlichen Grundsätzen des zwischenstaatlichen Rechts" unvereinbar sei. Um welche fundamentalen Rechtsgrundsätze es sich dabei handeln soll, zeigt er damit nicht auf (zum Begriff des Ordre public: BGE 144 III 120 E. 5.1; 138 III 322 E. 4.1; Urteil 4A_248/2019 vom 25. August 2020 E. 9.1, zur Publ. vorgesehen). Die Vorbringen stossen ins Leere.</w:t>
      </w:r>
    </w:p>
    <w:p>
      <w:r>
        <w:rPr>
          <w:b/>
        </w:rPr>
        <w:t>E. 3</w:t>
      </w:r>
    </w:p>
    <w:p>
      <w:r>
        <w:t>Der Beschwerdeführer rügt eine Verletzung von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146 III 142 E. 3.4.1 S. 148; 144 III 559 E. 4.1; 142 III 239 E. 3.1).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S. 563; 142 III 220 E. 3.1, 239 E. 3.1; 140 III 477 E. 3.1; 138 III 29 E. 2.2.1; je mit Hinweisen).</w:t>
      </w:r>
    </w:p>
    <w:p>
      <w:r>
        <w:rPr>
          <w:b/>
        </w:rPr>
        <w:t>E. 3.2</w:t>
      </w:r>
    </w:p>
    <w:p>
      <w:r>
        <w:t>Der Beschwerdeführer bringt vor, das Schiedsgericht habe nicht berücksichtigt, dass die Mitgliedstaaten der Europäischen Union nach Art. 2 des Kündigungsübereinkommens 2020 die Beendigung sämtlicher zwischen den Mitgliedstaaten geschlossenen Investitionsschutzverträge vereinbart hätten. Damit habe das Verfahren zwischen den Parteien nicht mehr dem Investitionsschutzabkommen 1990 unterlegen. Allerdings sei nach der Übergangsvorschrift von Art. 8 des Kündigungsübereinkommens 2020 für hängige Schiedsverfahren nach Massgabe von Art. 9 ein "strukturiertes Dialogverfahren" zwischen den Parteien durchzuführen. Da diese gesetzliche Vorgabe der Beendigung von Investitionsschutzabkommen bei Verkündung des Schiedsspruchs bereits massgebend gewesen sei, "hätte das Tribunal nur in der Weise rechtsfehlerfrei gehandelt, wenn es das Verfahren ausgesetzt und die Parteien auf das Dialogverfahren verwiesen hätte". Es fehle an der Zuständigkeit des Schiedsgerichts, das Verfahren zu beenden.</w:t>
      </w:r>
    </w:p>
    <w:p>
      <w:r>
        <w:rPr>
          <w:b/>
        </w:rPr>
        <w:t>E. 3.3</w:t>
      </w:r>
    </w:p>
    <w:p>
      <w:r>
        <w:t>Die Rüge ist offensichtlich unbegründet. Das Schiedsgericht hat sich nicht etwa für zuständig oder unzuständig erklärt (vgl. Art. 190 Abs. 2 lit. b IPRG ), sondern hat das Verfahren - ohne präjudizielle Wirkung ("without prejudice") - beendet, nachdem der verlangte Kostenvorschuss unbezahlt geblieben war. Es hielt im angefochtenen Entscheid unter Hinweis auf Art. 9 des Kündigungsübereinkommens 2020 ausdrücklich fest, es stelle sich zwar die Frage der Gültigkeit der Schiedsvereinbarung und demnach der schiedsgerichtlichen Zuständigkeit, über diese könne ohne Eingang des Kostenvorschusses jedoch nicht entschieden werden. Der Vorwurf, es fehle an der Zuständigkeit des eingesetzten Schiedsgerichts, geht demnach fehl. Soweit er mit seinen Ausführungen die schiedsgerichtliche Verfahrensführung im Zusammenhang mit der verweigerten Sistierung sowie dem auferlegten Kostenvorschuss kritisiert, erhebt der Beschwerdeführer keine nach Art. 190 Abs. 2 IPRG zulässige Rüge.</w:t>
      </w:r>
    </w:p>
    <w:p>
      <w:r>
        <w:rPr>
          <w:b/>
        </w:rPr>
        <w:t>E. 4</w:t>
      </w:r>
    </w:p>
    <w:p>
      <w:r>
        <w:t>Die Beschwerde ist im Verfahren nach Art. 109 Abs. 2 lit. a BGG abzuweisen, soweit darauf eingetreten werden kann.</w:t>
      </w:r>
    </w:p>
    <w:p>
      <w:r>
        <w:t>Das Gesuch des Beschwerdeführers um unentgeltliche Rechtspflege für das bundesgerichtliche Verfahren ist abzuweisen, da die Beschwerde von vornherein als aussichtslos erschien ( Art. 64 Abs. 1 BGG ). Dem Ausgang des Verfahrens entsprechend wird der Beschwerdeführer kostenpflichtig ( Art. 66 Abs. 1 BGG ). Der Beschwerdegegnerin wird keine Parteientschädigung zugesprochen,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