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4A_563/2014 vom 25. Februar 2015</w:t>
      </w:r>
    </w:p>
    <w:p>
      <w:r>
        <w:t>Bundesgericht, 2015-02-25, DE</w:t>
      </w:r>
    </w:p>
    <w:p>
      <w:r>
        <w:rPr>
          <w:b/>
        </w:rPr>
        <w:t xml:space="preserve">Quelle: </w:t>
      </w:r>
      <w:r>
        <w:t>https://mcp.opencaselaw.ch/entscheid/bger_4A_563_2014</w:t>
      </w:r>
    </w:p>
    <w:p>
      <w:r>
        <w:t>FR: TF 4A_563/2014 du 25 février 2015</w:t>
      </w:r>
    </w:p>
    <w:p>
      <w:r>
        <w:t>IT: TF 4A_563/2014 del 25 febbraio 2015</w:t>
      </w:r>
    </w:p>
    <w:p>
      <w:pPr>
        <w:pStyle w:val="Heading2"/>
      </w:pPr>
      <w:r>
        <w:t>Erwägungen</w:t>
      </w:r>
    </w:p>
    <w:p>
      <w:r>
        <w:rPr>
          <w:b/>
        </w:rPr>
        <w:t>E. 3</w:t>
      </w:r>
    </w:p>
    <w:p>
      <w:r>
        <w:t>Nach dem Gesagten ist die Beschwerde abzuweisen, soweit darauf einzutreten ist.</w:t>
      </w:r>
    </w:p>
    <w:p>
      <w:r>
        <w:t>Der Beschwerdeführer hat für das bundesgerichtliche Verfahren um Gewährung der unentgeltlichen Rechtspflege und Verbeiständung ersucht. Nach Art. 64 Abs. 1 BGG befreit das Bundesgericht eine Partei, die nicht über die erforderlichen Mittel verfügt, auf Antrag von der Bezahlung der Gerichtskosten und von der Sicherstellung der Parteientschädigung, sofern ihr Rechtsbegehren nicht aussichtslos erscheint. Wenn es zur Wahrung ihrer Rechte notwendig ist, bestellt das Bundesgericht der Partei überdies einen Rechtsvertreter (Abs. 2). Wie sich aus den vorstehenden Erwägungen zeigt, muss die Beschwerde in Zivilsachen in jeder Hinsicht als von Anfang an aussichtslos bezeichnet werden, weshalb es an den materiellen Voraussetzungen der unentgeltlichen Rechtspflege fehlt und das Gesuch abzuweisen ist.</w:t>
      </w:r>
    </w:p>
    <w:p>
      <w:r>
        <w:t>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