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4A_562/2023 vom 22. November 2023</w:t>
      </w:r>
    </w:p>
    <w:p>
      <w:r>
        <w:t>Bundesgericht, 2023-11-22, DE</w:t>
      </w:r>
    </w:p>
    <w:p>
      <w:r>
        <w:rPr>
          <w:b/>
        </w:rPr>
        <w:t xml:space="preserve">Quelle: </w:t>
      </w:r>
      <w:r>
        <w:t>https://mcp.opencaselaw.ch/entscheid/bger_4A_562_2023</w:t>
      </w:r>
    </w:p>
    <w:p>
      <w:r>
        <w:t>FR: TF 4A_562/2023 du 22 novembre 2023</w:t>
      </w:r>
    </w:p>
    <w:p>
      <w:r>
        <w:t>IT: TF 4A_562/2023 del 22 novembre 2023</w:t>
      </w:r>
    </w:p>
    <w:p>
      <w:pPr>
        <w:pStyle w:val="Heading2"/>
      </w:pPr>
      <w:r>
        <w:t>Erwägungen</w:t>
      </w:r>
    </w:p>
    <w:p>
      <w:r>
        <w:rPr>
          <w:b/>
        </w:rPr>
        <w:t>E. 1</w:t>
      </w:r>
    </w:p>
    <w:p>
      <w:r>
        <w:t>Die Beschwerdeführerin mietete vom Beschwerdegegner mit Untermietvertrag vom 1. Juli 2022 einen getrennten Raum rechts im Geschäftslokal der C.________ im 1. Obergeschoss an der U.________-strasse in V.________.</w:t>
      </w:r>
    </w:p>
    <w:p>
      <w:r>
        <w:t>Mit Urteil vom 4. September 2023 hiess das Einzelgericht Audienz des Bezirksgerichtes Zürich ein Ausweisungsbegehren des Beschwerdegegners gut und verpflichtete die Beschwerdeführerin, das Mietobjekt unverzüglich zu räumen. Das Stadtammann-/Gemeindeammannamt X.________ wurde angewiesen, die Ausweisung auf Verlangen des Beschwerdegegners zu vollstrecken.</w:t>
      </w:r>
    </w:p>
    <w:p>
      <w:r>
        <w:t>Auf eine von der Beschwerdeführerin dagegen erhobene Berufung trat das Obergericht des Kantons Zürich mit Beschluss vom 13. Oktober 2023 nicht ein.</w:t>
      </w:r>
    </w:p>
    <w:p>
      <w:r>
        <w:t>Die Beschwerdeführerin erhob gegen diesen Entscheid beim Bundesgericht mit einer vom 17. November 2023 datierten Eingabe (Poststempel vom 19. November 2023) Beschwerde.</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t>Der angefochtene Entscheid des Obergerichts vom 13. Oktober 2023 wurde der Beschwerdeführerin gemäss der Sendungsverfolgung der Post am 18. Oktober 2023 zugestellt. Die Beschwerdefrist lief demnach am 17. November 2023 ab.</w:t>
      </w:r>
    </w:p>
    <w:p>
      <w:r>
        <w:t>Die vorliegende Beschwerde wurde der Schweizerischen Post gemäss Poststempel am 19. November 2023 übergeben. Damit ist die Beschwerdefrist offensichtlich nicht eingehalten.</w:t>
      </w:r>
    </w:p>
    <w:p>
      <w:r>
        <w:t>Auf die Beschwerde kann demnach nicht eingetreten werden ( Art. 108 Abs. 1 lit. a BGG ).</w:t>
      </w:r>
    </w:p>
    <w:p>
      <w:r>
        <w:rPr>
          <w:b/>
        </w:rPr>
        <w:t>E. 3</w:t>
      </w:r>
    </w:p>
    <w:p>
      <w:r>
        <w:t>Dem Ausgang des Verfahrens entsprechend sind die Gerichtskosten der Beschwerdeführerin aufzuerlegen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