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4A_562/2022 vom 20. Dezember 2022</w:t>
      </w:r>
    </w:p>
    <w:p>
      <w:r>
        <w:t>Bundesgericht, 2022-12-20, DE</w:t>
      </w:r>
    </w:p>
    <w:p>
      <w:r>
        <w:rPr>
          <w:b/>
        </w:rPr>
        <w:t xml:space="preserve">Quelle: </w:t>
      </w:r>
      <w:r>
        <w:t>https://mcp.opencaselaw.ch/entscheid/bger_4A_562_2022</w:t>
      </w:r>
    </w:p>
    <w:p>
      <w:r>
        <w:t>FR: TF 4A_562/2022 du 20 décembre 2022</w:t>
      </w:r>
    </w:p>
    <w:p>
      <w:r>
        <w:t>IT: TF 4A_562/2022 del 20 dicembre 2022</w:t>
      </w:r>
    </w:p>
    <w:p>
      <w:pPr>
        <w:pStyle w:val="Heading2"/>
      </w:pPr>
      <w:r>
        <w:t>Erwägungen</w:t>
      </w:r>
    </w:p>
    <w:p>
      <w:r>
        <w:rPr>
          <w:b/>
        </w:rPr>
        <w:t>E. 1</w:t>
      </w:r>
    </w:p>
    <w:p>
      <w:r>
        <w:t>Mit Urteil vom 11. März 2022 wies das Bezirksgericht Affoltern eine vom Beschwerdeführer gegen die Beschwerdegegnerin erhobene Forderungsklage ab.</w:t>
      </w:r>
    </w:p>
    <w:p>
      <w:r>
        <w:t>Mit Urteil vom 9. November 2022 wies das Obergericht des Kantons Zürich eine vom Beschwerdeführer gegen das bezirksgerichtliche Urteil vom 11. März 2022 erhobene Berufung ab.</w:t>
      </w:r>
    </w:p>
    <w:p>
      <w:r>
        <w:t>Mit Eingabe vom 9. Dezember 2022 erklärte der Beschwerdeführer dem Bundesgericht, den Entscheid des Obergerichts des Kantons Zürich vom 9. November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9. Dezember 2022 nicht hinreichend mit den Erwägungen des angefochtenen Entscheids des Obergerichts des Kantons Zürich vom 9. Dezember 2022 auseinander und zeigt nicht rechtsgenügend auf, inwiefern die Vorinstanz mit ihrem Entscheid Bundesrecht verletzt hätte. Damit verfehlt er die gesetzlichen Begründungsanforderungen.</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