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562/2019 vom 10. Juli 2020</w:t>
      </w:r>
    </w:p>
    <w:p>
      <w:r>
        <w:t>Bundesgericht, 2020-07-10, FR</w:t>
      </w:r>
    </w:p>
    <w:p>
      <w:r>
        <w:rPr>
          <w:b/>
        </w:rPr>
        <w:t xml:space="preserve">Quelle: </w:t>
      </w:r>
      <w:r>
        <w:t>https://mcp.opencaselaw.ch/entscheid/bger_4A_562_2019</w:t>
      </w:r>
    </w:p>
    <w:p>
      <w:r>
        <w:t>FR: TF 4A 562/2019 du 10 juillet 2020</w:t>
      </w:r>
    </w:p>
    <w:p>
      <w:r>
        <w:t>IT: TF 4A 562/2019 del 10 luglio 2020</w:t>
      </w:r>
    </w:p>
    <w:p>
      <w:pPr>
        <w:pStyle w:val="Heading2"/>
      </w:pPr>
      <w:r>
        <w:t>Regeste</w:t>
      </w:r>
    </w:p>
    <w:p>
      <w:r>
        <w:t>représentation (art. 32 ss CO); communication tacite (art. 33 al. 3 CO) | Droit des contrats</w:t>
      </w:r>
    </w:p>
    <w:p>
      <w:pPr>
        <w:pStyle w:val="Heading2"/>
      </w:pPr>
      <w:r>
        <w:t>Erwägungen</w:t>
      </w:r>
    </w:p>
    <w:p>
      <w:r>
        <w:rPr>
          <w:b/>
        </w:rPr>
        <w:t>E. 1</w:t>
      </w:r>
    </w:p>
    <w:p>
      <w:r>
        <w:t>Interjeté en temps utile (art. 100 al. 1 et 45 al. 1 LTF) par la défenderesse qui a succombé dans ses conclusions libératoires ( art. 76 al. 1 LTF ), contre une décision finale ( art. 90 LTF ) prise sur appel par le tribunal supérieur du canton ( art. 75 LTF ) dans une affaire de contrat d'entreprise ( art. 72 al. 1 LTF )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255; 129 I 8 consid. 2.1 p. 9).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3</w:t>
      </w:r>
    </w:p>
    <w:p>
      <w:r>
        <w:t>Il résulte de l'état de fait de l'arrêt attaqué que A.________ SA est l'entrepreneur général, qui assume également la direction des travaux, et que B.________ AG est la sous-traitante, avec laquelle la première a conclu un contrat d'entreprise. L'entreprise générale se désigne dans le contrat comme maître de l'ouvrage: comme cela résulte du rubrum de l'arrêt attaqué, elle ne peut qu'être la représentante du maître de l'ouvrage, et non celui-ci même.</w:t>
      </w:r>
    </w:p>
    <w:p>
      <w:r>
        <w:rPr>
          <w:b/>
        </w:rPr>
        <w:t>E. 4</w:t>
      </w:r>
    </w:p>
    <w:p>
      <w:r>
        <w:t>Outre les personnes visées aux art. 718 al. 1-2 et 721 CO , peuvent valablement représenter la société anonyme (ci-après: la SA), dans la conclusion d'actes juridiques avec des tiers, les personnes qui ont la qualité de représentants civils au sens des art. 32 ss CO ( ATF 146 III 37 consid. 5-5.3 p. 41 s.). 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 ATF 140 III 86 consid. 4.1 p. 91; GAUCH/SCHLUEP/SCHMID, Schweizerisches Obligationenrecht, Allgemeiner Teil, t. 1, 10e éd., 2014, no 1306 ss et 1444 ss; TERCIER/PICHONNAZ, Le droit des obligations, 6e éd., 2019, no 415). Le contrat conclu par le représentant au nom du représenté produit effet pour celui-ci, c'est-à-dire l'oblige (ou le lie ou l'engage), à certaines conditions.</w:t>
      </w:r>
    </w:p>
    <w:p>
      <w:r>
        <w:rPr>
          <w:b/>
        </w:rPr>
        <w:t>E. 4.1</w:t>
      </w:r>
    </w:p>
    <w:p>
      <w:r>
        <w:t>Selon le système des art. 32 ss CO ,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comportement du représenté dans leurs rapports externes (procuration apparente; art. 33 al. 3 CO ); et (3) en l'absence de pouvoirs internes conférés au représentant par le représenté, lorsque celui-ci a ratifié le contrat ( art. 38 al. 1 CO ) ( ATF 146 III 37 consid. 7.1 p. 45; 131 III 511 consid. 3.1 p. 517; 120 II 197 consid. 2 p. 198 in initio ). Ces règles sont aussi applicables lorsque le représenté est une société anonyme ( ATF 146 III 37 consid. 5.3 et 7 pp. 42 et 45 s.).</w:t>
      </w:r>
    </w:p>
    <w:p>
      <w:r>
        <w:rPr>
          <w:b/>
        </w:rPr>
        <w:t>E. 4.1.1</w:t>
      </w:r>
    </w:p>
    <w:p>
      <w:r>
        <w:t>Le représenté est normalement lié - c'est le premier cas de figure, régi par l' art. 32 al. 1 CO - lorsque le représentant a manifesté agir au nom de celui-ci - du représenté - (première condition) et qu'il s'était vu octroyer des pouvoirs de représentation internes par celui-ci (seconde condition). L' art. 32 al. 1 CO protège ainsi essentiellement les intérêts du représenté.</w:t>
      </w:r>
    </w:p>
    <w:p>
      <w:r>
        <w:rPr>
          <w:b/>
        </w:rPr>
        <w:t>E. 4.1.2</w:t>
      </w:r>
    </w:p>
    <w:p>
      <w:r>
        <w:t>Toutefois - c'est le deuxième cas de figure, régi par l' 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(arrêt 4A_504/2018 du 10 décembre 2019 consid. 3.3.2, destiné à la publication; ATF 124 III 418 consid. 1c p. 421; 120 II 197 consid. 2b/cc p. 202; arrêt 4C.389/2002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 ATF 131 III 511 consid. 3.2.1 p. 518; arrêt 4A_54/2009 du 20 avril 2009 consid. 3.1). Il ne s'agit plus ici de protéger les intérêts du représenté, mais, dans une certaine mesure, ceux du tiers cocontractant et par là la sécurité des transactions (ENGEL, Traité des obligations en droit suisse, 2e éd., 1997, p. 383; DE SAUSSURE, L'acte juridique fait sans pouvoirs de représentation, 1945, p. 70). Parallèlement, l' art. 34 al. 3 CO protège le tiers, auquel les pouvoirs du représentant ont été communiqués, en cas de révocation de ces pouvoirs par le représenté.</w:t>
      </w:r>
    </w:p>
    <w:p>
      <w:r>
        <w:rPr>
          <w:b/>
        </w:rPr>
        <w:t>E. 4.1.3</w:t>
      </w:r>
    </w:p>
    <w:p>
      <w:r>
        <w:t>Enfin - c'est le troisième cas de figure, réglé par l' art. 38 al. 1 CO -, le représenté est lié si, malgré l'absence de pouvoirs internes du représentant, il a ratifié l'acte de celui-ci.</w:t>
      </w:r>
    </w:p>
    <w:p>
      <w:r>
        <w:rPr>
          <w:b/>
        </w:rPr>
        <w:t>E. 4.2</w:t>
      </w:r>
    </w:p>
    <w:p>
      <w:r>
        <w:t>Dans une première étape, le juge doit donc rechercher si le représentant a manifesté agir au nom du représenté et s'il avait des pouvoirs de représentation internes ( art. 32 al. 1 CO ). Ce n'est que s'il arrive à la conclusion que le représentant a agi sans pouvoirs de représentation internes que le juge devra, dans une seconde étape, rechercher si le représenté est contractuellement lié, soit en vertu de l' art. 33 al. 3 CO , soit en vertu de l' art. 38 al. 1 CO .</w:t>
      </w:r>
    </w:p>
    <w:p>
      <w:r>
        <w:rPr>
          <w:b/>
        </w:rPr>
        <w:t>E. 5</w:t>
      </w:r>
    </w:p>
    <w:p>
      <w:r>
        <w:t>Dans la première étape, la cour cantonale a retenu qu'il n'a pas été démontré que l'entreprise générale avait conféré des pouvoirs à son employé par contrat. La sous-traitante intimée soutient que les deux conditions de l' art. 32 al. 1 CO sont réunies. L'entreprise générale recourante le conteste, invoquant que la sous-traitante intimée ne fait qu'opposer sa propre version des faits.</w:t>
      </w:r>
    </w:p>
    <w:p>
      <w:r>
        <w:rPr>
          <w:b/>
        </w:rPr>
        <w:t>E. 5.1.1</w:t>
      </w:r>
    </w:p>
    <w:p>
      <w:r>
        <w:t>Pour que la première condition de l' art. 32 al. 1 CO soit remplie, il faut que le représentant agisse au nom du représenté (" fait au nom d'une autre personne "). Il doit manifester - expressément ou tacitement (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 art. 32 al. 2 CO ; arrêt 4A_504/2018 précité consid. 3.2.1, destiné à la publication; ATF 120 II 197 consid. 2b/aa p. 200; arrêt 4A_638/2015 du 9 mars 2016 consid. 3.2.2).</w:t>
      </w:r>
    </w:p>
    <w:p>
      <w:r>
        <w:rPr>
          <w:b/>
        </w:rPr>
        <w:t>E. 5.1.2</w:t>
      </w:r>
    </w:p>
    <w:p>
      <w:r>
        <w:t>Pour que la seconde condition soit réalisée, il faut que le représentant ait agi en ayant eu les pouvoirs internes de le faire (" autorisé ").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(arrêt 4A_504/2018 précité consid. 3.2.1, destiné à la publication). L'octroi de pouvoirs par le représenté au représentant peut être soit exprès, soit tacite. Selon la jurisprudence, l'octroi de pouvoirs internes tacite au sens de l' art. 32 al. 1 CO découle soit d'une tolérance ( Duldung ), soit d'une apparence ( Anschein ) ( ATF 141 III 289 consid. 4.1 p. 290 s.). Il y a tolérance, c'est-à-dire procuration interne par tolérance ( Duldungsbevollmächtigung ou Duldungsvollmacht ), lorsque le représenté sait qu'une personne a agi en son nom auprès d'un tiers sans qu'il l'y ait autorisée ( ohne seinen Willen ), mais qu'il ne s'est pas opposé à cet acte de représentation non sollicité ( unerbetene Vertretung ) ( ATF 141 III 289 consid. 4.1 p. 291); ce cas de figure présuppose que le représentant n'avait pas connaissance du fait que le représenté n'avait pas la volonté de lui octroyer des pouvoirs (GAUCH/SCHLUEP/SCHMID, op. cit. , no 1411). Il y a apparence, c'est-à-dire procuration interne apparente ( Anscheinsbevollmächtigung ou Anscheinsvollmacht ), lorsque, d'un côté, le représenté ne sait pas qu'une personne a agi comme sa représentante auprès d'un tiers, mais qu'il aurait dû le savoir s'il avait fait preuve de l'attention que les circonstances permettaient d'exiger de lui, et que, de l'autre côté, la représentante pouvait, selon les règles de la bonne foi ( Treu und Glauben ; art. 2 al. 1 CC ; ATF 143 III 653 consid. 4.3.3 p. 662 in initio ), interpréter le comportement du représenté comme valant octroi de pouvoirs ( ATF 141 III 289 consid. 4.1 p. 290 s.). L'étendue des pouvoirs de représentation internes octroyés ( art. 32 al. 1 CO ) dépend au premier chef de l'acte d'octroi lui-même ( art. 33 al. 2 CO ), dont le contenu est apprécié, si nécessaire (si la volonté réelle et commune du représenté et du représentant n'a pas pu être établie), sur la base du principe de la confiance (arrêt 4A_504/2018 précité consid. 3.2.1, destiné à la publication).</w:t>
      </w:r>
    </w:p>
    <w:p>
      <w:r>
        <w:rPr>
          <w:b/>
        </w:rPr>
        <w:t>E. 5.2</w:t>
      </w:r>
    </w:p>
    <w:p>
      <w:r>
        <w:t>En l'espèce, il n'est pas contesté que l'employé a agi au nom de son employeuse (première condition). En revanche, les parties divergent en ce qui concerne l'octroi de pouvoirs internes (seconde condition). Selon les constatations de fait de l'arrêt attaqué, les deux exemplaires - produits en procédure - du contrat d'entreprise, rédigé par l'entreprise générale, comprennent en dernière page, à la fin de l'art. 7, peu avant l'espace réservé aux signatures, l'ajout manuscrit suivant, apposé par l'administrateur de la sous-traitante: " Hr. F.________ ist unterschriftsberechtigt für den Bauherr + GU. " Que l'administrateur de l'entreprise générale ait signé ce contrat avant la sous-traitante ou l'inverse importe peu. En effet, contrairement à la conception des parties, l'octroi de pouvoirs internes par le représenté au représentant ne découle pas d'un contrat passé entre le représenté et le tiers, mais d'un acte d'octroi du représenté au représentant. La clause contractuelle ajoutée dans le contrat d'entreprise par l'administrateur de la sous-traitante ne peut être comprise que comme communication externe de pouvoirs (cf. consid. 6.3.1 ci-dessous). Elle n'établit pas que l'entreprise générale aurait donné des pouvoirs internes à son employé au sens de l' art. 32 al. 1 CO , celui-ci ayant même déclaré qu'il " ne savait pas très clairement s'il avait le pouvoir de signer ", mais qu'il " avait compris qu'il avait le pouvoir d'engager l'entreprise du fait que le chef de bureau, G.________, l'avait chargé de gérer l'ensemble du chantier et de faire les métrés ". Il s'ensuit que les critiques de la recourante tirées des art. 97 al. 1 LTF , de l' art. 8 CC et des art. 55 al. 1 et 157 CPC sont sans objet, respectivement infondées.</w:t>
      </w:r>
    </w:p>
    <w:p>
      <w:r>
        <w:rPr>
          <w:b/>
        </w:rPr>
        <w:t>E. 6</w:t>
      </w:r>
    </w:p>
    <w:p>
      <w:r>
        <w:t>Dans la seconde étape, en l'absence de pouvoirs internes, la cour cantonale a tout d'abord considéré qu'il n'avait pas été démontré que l'entreprise générale aurait ratifié le décompte final ( art. 38 al. 1 CO ). Ensuite, elle a admis l'existence d'une procuration externe apparente communiquée par l'entreprise générale à la sous-traitante et la bonne foi de celle-ci, implicitement sur la base de l' art. 33 al. 3 CO . L'entreprise générale recourante se plaint de violation de cette disposition, alors que la sous-traitante intimée soutient, subsidiairement, que l'employé de l'entreprise recourante représentait celle-ci sur la base d'une procuration (externe) apparente et sur la base d'une procuration (externe) par tolérance.</w:t>
      </w:r>
    </w:p>
    <w:p>
      <w:r>
        <w:rPr>
          <w:b/>
        </w:rPr>
        <w:t>E. 6.1</w:t>
      </w:r>
    </w:p>
    <w:p>
      <w:r>
        <w:t>Aux termes de l' art. 33 al. 3 CO , si les pouvoirs ont été portés par le représenté à la connaissance d'un tiers, leur étendue est déterminée envers celui-ci par les termes de la communication qui lui a été faite. Comme on l'a vu, cette disposition, qui a pour but de protéger le tiers cocontractant et de garantir la sécurité des transactions, ne s'applique qu'exceptionnellement, à savoir aux conditions restrictives qui y sont prévues (cf. consid. 4.1.2 ci-dessus). Elle a son pendant à l' art. 34 al. 3 CO pour le cas où les pouvoirs communiqués sont ensuite restreints ou révoqués par le représenté (CHAPPUIS, in Thévenoz/Werro (édit.), Commentaire romand, CO I, 2e éd., 2012, no 11 ad art. 34 CO ). Pour que la protection de l' 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p. 46; 131 III 511 consid. 3.2 p. 518; 124 III 418 consid. 1c p. 421; 120 II 197 consid. 2b/cc p. 202; arrêt 4C.389/2002 du 21 mars 2003 consid. 4.2.2).</w:t>
      </w:r>
    </w:p>
    <w:p>
      <w:r>
        <w:rPr>
          <w:b/>
        </w:rPr>
        <w:t>E. 6.2</w:t>
      </w:r>
    </w:p>
    <w:p>
      <w:r>
        <w:t>En ce qui concerne la première condition, il peut être renvoyé aux considérants émis ci-dessus en relation avec l' art. 32 al. 1 CO (cf. consid. 5.1.1 ci-dessus) : le représentant doit avoir agi au nom du représenté, mais il doit l'avoir fait en l'absence de pouvoirs internes pour que l' art. 33 al. 3 CO puisse entrer en ligne de compte.</w:t>
      </w:r>
    </w:p>
    <w:p>
      <w:r>
        <w:rPr>
          <w:b/>
        </w:rPr>
        <w:t>E. 6.3</w:t>
      </w:r>
    </w:p>
    <w:p>
      <w:r>
        <w:t>Pour que la seconde condition soit remplie, il faut, premièrement, qu'il y ait eu communication de pouvoirs par le représenté au tiers (d'où la dénomination de procuration externe, qui n'est pas à proprement parler une procuration, c'est-à-dire un octroi de pouvoirs internes au représentant; GAUCH/SCHLUEP/SCHMID, op. cit. , no 1406 s.) et, secondement, que le tiers soit de bonne foi (CHAPPUIS, op. cit. , no 19 ad art. 33 CO ).</w:t>
      </w:r>
    </w:p>
    <w:p>
      <w:r>
        <w:rPr>
          <w:b/>
        </w:rPr>
        <w:t>E. 6.3.1</w:t>
      </w:r>
    </w:p>
    <w:p>
      <w:r>
        <w:t>Pour qu'il y ait communication ( Vollmachtskundgabe ), le représenté doit avoir porté à la connaissance du tiers une procuration externe qui va au-delà des pouvoirs qu'il a effectivement conférés au représentant (par procuration interne). Il ne s'agit pas d'un acte juridique, mais d'une action analogue à un acte juridique, dont l'effet ne dépend pas de la volonté de son auteur, mais de l' art. 33 al. 3 CO (CHAPPUIS, op. cit. , no 20 ad art. 33 CO ; GAUCH/SCHLUEP/SCHMID, op. cit. , no 1394). Cette communication peut résulter d'une clause contractuelle ou de conditions générales annexées au contrat (CHAPPUIS, op. cit. , no 21 ad art. 33 CO ; GAUCH/SCHLUEP/SCHMID, op. cit. , no 1394). La communication peut être tacite: elle peut être déduite du comportement du représenté et, au cas où le tiers ne comprend pas la communication comme le représenté l'entendait, elle sera interprétée conformément au principe de la confiance (GAUCH/SCHLUEP/SCHMID, op. cit. , no 1394 d). Conformément à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 ATF 120 II 197 consid. 2b/cc p. 202). Selon la jurisprudence, le tiers peut également être protégé en cas de communication externe tacite des pouvoirs par tolérance ( Duldung ) ou en raison d'une apparence ( Anschein ) ( ATF 120 II 197 consid. 2a p. 198). Il y a tolérance, c'est-à-dire procuration externe par tolérance ( externe Duldungsvollmacht ) lorsque le représenté est au courant des actes du représentant, le laisse agir en tant que tel, ne faisant rien pour l'en empêcher, de sorte qu'il adresse ainsi au tiers une communication de pouvoirs ( ATF 120 II 197 consid. 2b/bb p. 201; arrêt 4A_313/2010 du 3 septembre 2010 consid. 3.4.2.3). Il y a apparence, c'est-à-dire procuration externe apparente ( externe Anscheinsvollmacht )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 art. 3 al. 2 CC ; ATF 120 II 197 consid. 2b/bb p. 201; arrêt 4A_313/2010 précité consid. 3.4.2.3).</w:t>
      </w:r>
    </w:p>
    <w:p>
      <w:r>
        <w:rPr>
          <w:b/>
        </w:rPr>
        <w:t>E. 6.3.2</w:t>
      </w:r>
    </w:p>
    <w:p>
      <w:r>
        <w:t>Est exigée, secondement, la bonne foi du tiers ( ATF 131 III 511 consid. 3.2 p. 518; 124 III 418 consid. 1c p. 421; 120 II 197 consid. 2b/cc p. 202; arrêt 4C.389/2002 du 21 mars 2003 consid. 4.2.2). Le tiers doit avoir cru à l'existence des pouvoirs internes du représentant en se fiant à la communication reçue du représenté. Seule sa bonne foi permet de pallier le défaut des pouvoirs de représentation internes.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 ATF 131 III 511 consid. 3.2.2 p. 519; arrêt 4A_54/2009 précité consid. 3.1). La preuve de la mauvaise foi du tiers relève du fait, alors que la mesure de l'attention exigée par les circonstances au sens de l' art. 3 al. 2 CC est une question de droit, soumise à l'appréciation du juge ( art. 4 CC ; ATF 143 III 653 consid. 4.3.3. p. 662 in fine ).</w:t>
      </w:r>
    </w:p>
    <w:p>
      <w:r>
        <w:rPr>
          <w:b/>
        </w:rPr>
        <w:t>E. 6.4.1</w:t>
      </w:r>
    </w:p>
    <w:p>
      <w:r>
        <w:t>En l'espèce, il résulte des constatations de fait de l'arrêt attaqué que l'administrateur de la sous-traitante a ajouté au contrat d'entreprise, à la fin de l'art. 7, une clause manuscrite. Cette clause figure sur les deux exemplaires du contrat, dont chacune des parties a produit son exemplaire en procédure. La cour cantonale a constaté que l'entreprise générale - la représentée - n'a pas réagi à cette adjonction manuscrite effectuée par l'administrateur de la sous-traitante - le tiers cocontractant - lorsqu'elle a reçu (en tout cas) un exemplaire du contrat ainsi modifié, qu'elle n'en a pas contesté le contenu et l'a conservé dans son dossier. Elle a aussi retenu que l'entreprise générale ne pouvait prétendre avoir ignoré le contenu de cette clause. Elle a dénié à son administrateur le droit de faire valoir à titre personnel qu'il n'en avait pas eu connaissance et le droit de se retrancher derrière une éventuelle organisation défaillante de sa société. La recourante ne critique ni ces constatations de fait, ni cette argumentation de la cour cantonale. Elle se limite à objecter que l'art. 10 des CG, qui est, de son point de vue, clair, exigeait la signature de son administrateur. Cette critique est infondée, la recourante méconnaissant que les clauses particulières du contrat d'entreprise priment les conditions générales annexées. De surcroît, on ne voit pas comment elle peut soutenir que son employé assumerait la direction des travaux au sens de l'art. 10 des CG, alors que l'art. 3 du contrat prévoit que c'est elle, l'entrepreneur général, qui assume la direction des travaux. Il s'ensuit qu'il a été retenu, sans que la recourante formule un quelconque grief d'arbitraire, qu'elle avait bien eu connaissance de cette clause. Conformément au principe de la confiance, il y a donc lieu d'admettre que la sous-traitante - le tiers - pouvait objectivement comprendre le comportement de la représentée, dans les circonstances du cas d'espèce, comme une communication de pouvoirs, laquelle lui était imputable même si, par hypothèse, telle n'avait pas été la volonté intime de son administrateur. Il est donc superflu d'examiner si, en se basant sur d'autres éléments de fait (l'employé a été l'interlocuteur principal, le négociateur, a signé l'avis de réception de l'ouvrage, a établi et contrôlé les métrés), on pourrait admettre une procuration externe apparente, comme retenu par la cour cantonale, ou une procuration externe par tolérance, comme le soutient l'intimée dans sa réponse. On peut également se dispenser d'examiner les critiques, essentiellement appellatoires, de l'intimée par lesquelles celle-ci entend démontrer que l'administrateur de l'entreprise générale aurait signé le contrat en second lieu, soit après qu'y fut apportée l'adjonction manuscrite.</w:t>
      </w:r>
    </w:p>
    <w:p>
      <w:r>
        <w:rPr>
          <w:b/>
        </w:rPr>
        <w:t>E. 6.4.2</w:t>
      </w:r>
    </w:p>
    <w:p>
      <w:r>
        <w:t>En ce qui concerne la bonne foi de la sous-traitante, laquelle est présumée, la cour cantonale a retenu que celle-ci était persuadée de l'existence du pouvoir de représentation (sans restriction) de l'employé, notamment en raison de l'absence de réaction à l'adjonction que celle-ci avait insérée dans le contrat. L'entreprise générale défenderesse n'a ni allégué ni prouvé qu'il y aurait eu abus de pouvoirs du représentant. Le licenciement de l'employé n'avait entraîné aucune restriction de ces pouvoirs, qui aurait fait l'objet d'une communication ( art. 34 al. 3 CO ). La cour cantonale retient donc que l'administrateur de la sous-traitante n'avait pas de doute sur les pouvoirs de représentation du représentant. Quant à l'art. 10 des CG, il ne permettait pas de mettre en cause la bonne foi de la sous-traitante. Ce faisant, la cour cantonale a retenu en fait l'existence de la bonne foi de la sous-traitante et la recourante ne démontre pas l'arbitraire de cette appréciation, ni même ne le soulève ( art. 97 al. 1 LTF et 9 Cst., art. 106 al. 2 LTF ), se limitant à invoquer la violation de l' art. 33 al. 3 CO . Ainsi, lorsque la recourante soutient que " l'ajout au contrat d'une clause manuscrite, sans prévenir son cocontractant, questionne d'emblée la bonne foi " de la sous-traitante, elle ne démontre nullement la mauvaise foi de celle-ci. Lorsqu'elle fait valoir que celle-ci ne peut qu'être de mauvaise foi vu l'art. 10 des CG, elle méconnaît que la clause particulière manuscrite ajoutée dans le contrat d'entreprise vaut dans les circonstances de l'espèce communication externe de pouvoirs et, par conséquent, prime une clause des conditions générales qui prévoirait autre chose. Il ne suffit pas, pour démontrer l'arbitraire de la constatation de la bonne foi de la sous-traitante, d'invoquer l'art. 10 des CG et de soutenir que celle-ci " aurait dû être plus attentive ".</w:t>
      </w:r>
    </w:p>
    <w:p>
      <w:r>
        <w:rPr>
          <w:b/>
        </w:rPr>
        <w:t>E. 6.5</w:t>
      </w:r>
    </w:p>
    <w:p>
      <w:r>
        <w:t>Il s'ensuit que l'entreprise générale est liée par l'ajout manuscrit en vertu de l' art. 33 al. 3 CO . Elle est ainsi obligée par le décompte final qui a été envoyé en son nom par son employé à la sous-traitante et que celle-ci a signé.</w:t>
      </w:r>
    </w:p>
    <w:p>
      <w:r>
        <w:rPr>
          <w:b/>
        </w:rPr>
        <w:t>E. 7</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