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562/2018 vom 6. Februar 2019</w:t>
      </w:r>
    </w:p>
    <w:p>
      <w:r>
        <w:t>Bundesgericht, 2019-02-06, FR</w:t>
      </w:r>
    </w:p>
    <w:p>
      <w:r>
        <w:rPr>
          <w:b/>
        </w:rPr>
        <w:t xml:space="preserve">Quelle: </w:t>
      </w:r>
      <w:r>
        <w:t>https://mcp.opencaselaw.ch/entscheid/bger_4A_562_2018</w:t>
      </w:r>
    </w:p>
    <w:p>
      <w:r>
        <w:t>FR: TF 4A 562/2018 du 6 février 2019</w:t>
      </w:r>
    </w:p>
    <w:p>
      <w:r>
        <w:t>IT: TF 4A 562/2018 del 6 febbraio 2019</w:t>
      </w:r>
    </w:p>
    <w:p>
      <w:pPr>
        <w:pStyle w:val="Heading2"/>
      </w:pPr>
      <w:r>
        <w:t>Regeste</w:t>
      </w:r>
    </w:p>
    <w:p>
      <w:r>
        <w:t>Protection des données; communication transfrontalière; motifs justificatifs | Propriété intellectuelle, concurrence et cartels</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4 et 6 LPD , par une personne physique contre une banque; la cause divise deux personnes privées et il s'agit donc d'une contestation civile ( art. 72 LTF ). En refusant la communication de ses données aux autorités américaines, le demandeur, en tant qu'ex-employé d'une banque,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égard à la valeur litigieuse (cf. art. 74 al. 1 LTF a contrario ). 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 En l'occurrence, l'état de fait dressé par la cour cantonale a été complété d'office, en particulier s'agissant du contexte général entourant la conclusion de l'accord du 29 août 2013 signé par le Conseil fédéral et le DoJ, ainsi que d'une partie du contenu de l'accord NPA.</w:t>
      </w:r>
    </w:p>
    <w:p>
      <w:r>
        <w:rPr>
          <w:b/>
        </w:rPr>
        <w:t>E. 2</w:t>
      </w:r>
    </w:p>
    <w:p>
      <w:r>
        <w:t>Sur le fond, la cour cantonale réfute l'argument selon lequel une mise en accusation de la banque entraînerait sa disparition. Elle considère ce fait comme " incertain ", le " scénario paraissant improbable ", ce d'autant plus que la banque, qui n'est pas active sur le marché américain, n'est pas d'importance systémique. Elle relève qu'aucun indice ne permet de dire qu'une livraison incomplète des données au DoJ aurait pour conséquence la révocation de l'accord d'ores et déjà conclu et que la banque se limite à faire état de " risques " de dénonciation de l'accord, sans toutefois démontrer l'existence d'un risque concret dans les circonstances de l'espèce. Elle considère que la troisième condition de l' art. 6 al. 2 let . d 1ère hypothèse LPD (caractère indispensable de la transmission) n'est pas réalisée. Selon la cour cantonale, la banque ne peut pas non plus se prévaloir de l' art. 6 al. 2 let . d 2ème hypothèse LPD, puisqu'elle n'est pas formellement impliquée dans une procédure judiciaire aux États-Unis et que le caractère indispensable de la transmission (pour la défense d'un droiten justice, devant le DoJ) n'est pas non plus démontré.</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hypothèse LPD,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 4A_390/2017 déjà cité consid. 4.2.2 et les références citées).</w:t>
      </w:r>
    </w:p>
    <w:p>
      <w:r>
        <w:rPr>
          <w:b/>
        </w:rPr>
        <w:t>E. 3.2.3</w:t>
      </w:r>
    </w:p>
    <w:p>
      <w:r>
        <w:t>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On observe d'emblée que la cour cantonale a tranché la question litigieuse en considérant que la transmission des données n'était pas indispensable pour la sauvegarde de l'intérêt public (cf. supra consid. 3.2.3). Les magistrats précédents se fondent sur les critères rappelés par la Cour de céans dans un cas similaire (arrêt 4A_611/2017 du 26 mars 2018 consid. 4.2) et ils relèvent que la banque alors concernée n'a pas fait la démonstration d'un risque avéré (ou concret) dans les circonstances de l'espèce, mais qu'elle se contente de faire état " des risques " de voir l'accord conclu avec le DoJ révoqué. En l'occurrence, si les divers éléments énumérés par la banque rappellent qu'un manquement de sa part aux obligations résultant du Programme volontaire et de l'accord NPA comporte le risque (identifié de manière générale, abstraite, pour toutes les banques) d'une dénonciation de l'accord, ils ne suffisent pas à démontrer que la non-communication des données litigieuses serait concrètement (en l'espèce) de nature à remettre en cause l'accord conclu et/ou à entraîner une inculpation de la banque. A cet égard, il n'est d'ailleurs pas établi que la banque aurait fait l'objet de relances spécifiques ou de pressions déterminées de la part du DoJ. Par ailleurs, et cela est déterminant, on ne peut déduire de ces éléments que la livraison des données serait en l'occurrence nécessaire pour (risque subséquent) éviter une (nouvelle) intensification du litige fiscal avec les USA qui, de ce fait, affecterait la place financière suisse et porterait préjudice à la réputation de la Suisse en tant que partenaire de négociation fiable. Cela étant, la livraison des données litigieuses ne peut, en l'état actuel, être considérée comme indispensable au sens de l' art. 6 al. 2 let . d première hypothèse LPD. Faute de preuve d'un intérêt public actuel et concret de la banque à la transmission des données du demandeur, il n'y a pas lieu de le pondérer avec l'intérêt privé de celui-ci: en particulier, il n'y a pas à examiner le grief que la banque tente de tirer du rôle insignifiant joué par le demandeur et du risque minime qu'il encourrait d'être inculpé aux Etats-Unis, ce qui selon elle justifierait la transmission de ses données. Le moyen est infondé.</w:t>
      </w:r>
    </w:p>
    <w:p>
      <w:r>
        <w:rPr>
          <w:b/>
        </w:rPr>
        <w:t>E. 3.4</w:t>
      </w:r>
    </w:p>
    <w:p>
      <w:r>
        <w:t>Dans une critique distincte, la recourante tente d'infléchir le résultat auquel est parvenu la cour cantonale en revenant sur le degré de la preuve. En rapport avec l'existence du risque de dénonciation et/ou d'inculpation, elle estime que la preuve mise à sa charge est impossible à apporter ou qu'elle ne peut pas être raisonnablement exigée d'elle. Invoquant l'état de nécessité, elle considère que la cour cantonale aurait dû renoncer à l'exigence de la certitude et se satisfaire d'une vraisemblance prépondérante. Dans cette dernière perspective (impliquant un degré de preuve réduit), elle considère avoir apporté la preuve qui lui incombait. L'argumentation ne convainc pas. On ne voit en effet pas en quoi cette preuve (que la banque n'est pas parvenue à fournir) serait, de par la nature même du fait à établir, objectivement impossible à apporter ou pourquoi elle ne pourrait pas être raisonnablement exigée de la banque (cf. ATF 133 III 153 consid. 3.3). Il résulte à cet égard de l'arrêt cantonal que, si les autorités américaines devaient estimer que le NPA a été violé, elles se sont engagées dans cet accord à interpeller par écrit la banque, avant toute poursuite judiciaire; la banque a alors la possibilité, dans le délai de trente jours, d'expliquer par écrit la nature et les circonstances de la violation, ainsi que les actions prises pour y remédier (cf. supra let. A.f). Cela étant, au plus tard au moment de cette interpellation, la banque a (objectivement) la possibilité d'apporter la preuve (au degré de la certitude) (cf. récemment arrêt 4A_174/2018 du 22 août 2018 consid. 3.4). Le grief est infondé et, l'existence d'un risque de dénonciation et/ou d'inculpation n'ayant pas été démontrée, il est superflu d'examiner les autres critiques de la banque visant la prétendue intensification du litige fiscal avec les Etats-Unis (risque subséquent).</w:t>
      </w:r>
    </w:p>
    <w:p>
      <w:r>
        <w:rPr>
          <w:b/>
        </w:rPr>
        <w:t>E. 3.5</w:t>
      </w:r>
    </w:p>
    <w:p>
      <w:r>
        <w:t>Il reste à déterminer si, comme le soutient la banque, la communication des données est, pour elle, indispensable à la constatation, à l'exercice ou à la défense d'un droit en justice ( art. 6 al. 2 let . d deuxième hypothèse LPD). Il n'y a à cet égard pas lieu de se demander, comme le fait la recourante, si la procédure menée devant le DoJ peut être considérée, pour la banque, comme " la défense d'un droit en justice ". Il suffit ici de relever que la communication des données doit aussi être indispensable pour constater, exercer ou défendre un droit en justice. Sur ce point, la cour cantonale renvoie d'ailleurs à sa motivation, fournie sous l'angle de l' art. 6 al. 2 let . d première hypothèse LPD, niant le caractère indispensable de la communication. Or, la banque n'a jamais prétendu, ni dans son appel, ni dans son recours en matière civile, que le caractère indispensable de la communication aurait une signification différente dans les deux hypothèses de l' art. 6 al. 2 let . d LPD. Quant à l'affirmation de la recourante selon laquelle la cour cantonale aurait nié l'existence d'un risque concret de révocation du NPA en violation de l' art. 8 CC (degré de la preuve), elle a déjà été réfutée plus haut (cf. supra consid. 3.4) et il n'y a pas lieu d'y revenir. La prémisse sur laquelle se fonde la recourante (le caractère indispensable de la communication des données) ayant été écartée (cf. supra consid. 3.3), son argumentation en rapport avec la seconde hypothèse de l' art. 6 al. 2 let . d LPC se révèle sans consistance. Le moyen est également infondé.</w:t>
      </w:r>
    </w:p>
    <w:p>
      <w:r>
        <w:rPr>
          <w:b/>
        </w:rPr>
        <w:t>E. 3.6</w:t>
      </w:r>
    </w:p>
    <w:p>
      <w:r>
        <w:t>Il est donc superflu d'examiner si la cour cantonale, comme le prétend la recourante, a transgressé l' art. 4 LPD .</w:t>
      </w:r>
    </w:p>
    <w:p>
      <w:r>
        <w:rPr>
          <w:b/>
        </w:rPr>
        <w:t>E. 3.7</w:t>
      </w:r>
    </w:p>
    <w:p>
      <w:r>
        <w:t>Au terme de l'examen des moyens invoqués par la recourante, on constate que celle-ci n'a pas discuté la portée des conclusions en interdiction prises par le demandeur et qu'elle n'a soulevé aucun grief contre les décisions cantonales s'agissant des tiers concernés par l'interdiction. Force est toutefois d'observer à cet égard que la procédure judiciaire menée en Suisse a pour seule origine la requête du DoJ. Il convient dès lors de comprendre l'interdiction prononcée par les magistrats cantonaux dans ce contexte, en ce sens qu'elle est limitée à ce seul destinataire (le DoJ) (arrêt 4A_493/2018 du 15 octobre 2018 consid. 3.7; cf. ATF 131 III 70 consid. 3.6 p. 76).</w:t>
      </w:r>
    </w:p>
    <w:p>
      <w:r>
        <w:rPr>
          <w:b/>
        </w:rPr>
        <w:t>E. 4</w:t>
      </w:r>
    </w:p>
    <w:p>
      <w:r>
        <w:t>Il résulte des considérations qui précèdent que le recours en matière civile doit être rejeté. Les frais de la procédure fédérale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