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562/2014 vom 20. Februar 2015</w:t>
      </w:r>
    </w:p>
    <w:p>
      <w:r>
        <w:t>Bundesgericht, 2015-02-20, DE</w:t>
      </w:r>
    </w:p>
    <w:p>
      <w:r>
        <w:rPr>
          <w:b/>
        </w:rPr>
        <w:t xml:space="preserve">Quelle: </w:t>
      </w:r>
      <w:r>
        <w:t>https://mcp.opencaselaw.ch/entscheid/bger_4A_562_2014</w:t>
      </w:r>
    </w:p>
    <w:p>
      <w:r>
        <w:t>FR: TF 4A 562/2014 du 20 février 2015</w:t>
      </w:r>
    </w:p>
    <w:p>
      <w:r>
        <w:t>IT: TF 4A 562/2014 del 20 febbraio 2015</w:t>
      </w:r>
    </w:p>
    <w:p>
      <w:pPr>
        <w:pStyle w:val="Heading2"/>
      </w:pPr>
      <w:r>
        <w:t>Regeste</w:t>
      </w:r>
    </w:p>
    <w:p>
      <w:r>
        <w:t>Provision, Teilrückzug, Kostenvorschuss | Obligationenrecht (allgemein)</w:t>
      </w:r>
    </w:p>
    <w:p>
      <w:pPr>
        <w:pStyle w:val="Heading2"/>
      </w:pPr>
      <w:r>
        <w:t>Erwägungen</w:t>
      </w:r>
    </w:p>
    <w:p>
      <w:r>
        <w:rPr>
          <w:b/>
        </w:rPr>
        <w:t>E. 1</w:t>
      </w:r>
    </w:p>
    <w:p>
      <w:r>
        <w:t>Der angefochtene Beschluss des Handelsgerichts als einziges, oberes kantonales Gericht ( Art. 75 Abs. 2 lit. b BGG ) schliesst das Verfahren, das die Beschwerdeführerin mit ihrer Klage vom 3. Januar 2013 eingeleitet hat, nicht ab. Ein Endentscheid im Sinne von Art. 90 BGG liegt nicht vor.</w:t>
      </w:r>
    </w:p>
    <w:p>
      <w:r>
        <w:rPr>
          <w:b/>
        </w:rPr>
        <w:t>E. 1.1</w:t>
      </w:r>
    </w:p>
    <w:p>
      <w:r>
        <w:t>Die Vorinstanz hat zunächst das Verfahren teilweise - betreffend die Editionsbegehren (in Ziffern 1.1, 1.3, 2.1, 2.2, 2.3, 3.1 und 4), betreffend das Feststellungsbegehren in Ziffer 3.2 und betreffend das Begehren in Ziffer 1.2 als durch Klagerückzug erledigt abgeschrieben (Dispositiv-Ziffern 1-4 des angefochtenen Beschlusses). Die Vorinstanz hat insoweit nicht über einen Teil der Klagebegehren geurteilt ( Art. 91 lit. a BGG ), sondern hat die Änderung der Rechtsbegehren in der Replik vom 7. April 2014 gegenüber der Klage als teilweisen Klagerückzug interpretiert und insoweit das Verfahren als teilweise durch Klagerückzug beendet erklärt. Die Vorinstanz hat das Verfahren im Sinne von Art. 241 Abs. 3 ZPO teilweise abgeschrieben (Dispositiv-Ziffer 4 des angefochtenen Beschlusses). Gegen die Abschreibung des Verfahrens wegen Vergleich, Klageanerkennung oder Klagerückzug im Sinne von Art. 241 ZPO ist die Beschwerde an das Bundesgericht nicht zulässig ( BGE 139 III 133 E. 1.2 mit Hinweisen). In Bezug auf materielle oder prozessuale Mängel des Klagerückzugs steht vielmehr allein die Revision im Sinne von Art. 328 Abs. 1 lit. c ZPO offen. Da gegen die Abschreibung von Verfahren wegen Klagerückzugs im Sinne von Art. 241 ZPO die Beschwerde nach dem Bundesgerichtsgesetz nicht zulässig ist, kann der angefochtene Abschreibungsbeschluss einem Teilurteil nicht gleichgestellt werden, was eine analoge Anwendung von Art. 91 lit. a BGG ausschliesst. Die Beschwerde ist unzulässig, soweit sie sich gegen die Dispositivziffern 1-4 des angefochtenen Beschlusses richtet.</w:t>
      </w:r>
    </w:p>
    <w:p>
      <w:r>
        <w:rPr>
          <w:b/>
        </w:rPr>
        <w:t>E. 1.2</w:t>
      </w:r>
    </w:p>
    <w:p>
      <w:r>
        <w:t>Die Vorinstanz hat sodann für den Abschreibungsbeschluss Gerichtskosten erhoben und eine Parteientschädigung gesprochen (Dispositivziffern 5-7 des angefochtenen Beschlusses). Der in einem Abschreibungsbeschluss nach Art. 241 ZPO enthaltene Kostenpunkt kann zwar grundsätzlich mit Beschwerde angefochten werden ( BGE 139 III 133 E. 1.2 S. 134 in fine ). Dies setzt jedoch voraus, dass der angefochtene Abschreibungsbeschluss das Verfahren gemäss Art. 90 BGG beendet, was vorliegend nicht zutrifft. Entscheide über die Kosten- und Entschädigungsfolgen in Zwischenverfahren, die ihrerseits nicht mit Beschwerde angefochten werden können, sind dagegen nach der Rechtsprechung grundsätzlich nur mit Beschwerde gegen den Endentscheid anfechtbar (vgl. BGE 138 III 94 mit Hinweisen) oder sie können mit selbständiger Kostenbeschwerde im Anschluss an einen Endentscheid angefochten werden, falls derselbe die betreffende Partei nicht belastet und sie keinen Anlass hat, diesen mitanzufechten (Urteil 4A_307/2014 E. 1.4 vom 17. September 2014 mit Hinweisen). Die Beschlüsse über die Kosten und Entschädigungen des Abschreibungsbeschlusses in den Dispositivziffern 5-7 sind nur unter der Voraussetzung mit Beschwerde anfechtbar, dass sie ausnahmsweise einen nicht wieder gutzumachenden Nachteil im Sinne von Art. 93 Abs. 1 lit. a BGG bewirken.</w:t>
      </w:r>
    </w:p>
    <w:p>
      <w:r>
        <w:rPr>
          <w:b/>
        </w:rPr>
        <w:t>E. 1.3</w:t>
      </w:r>
    </w:p>
    <w:p>
      <w:r>
        <w:t>Die Vorinstanz hat schliesslich beschlossen, dass die Fristansetzung für die Duplik erst nach Rechtskraft dieses Beschlusses und Eingang aller Zahlungen erfolgt (Dispositivziffer 8 des angefochtenen Beschlusses), einen weiteren Gerichtskostenvorschuss von Fr. 50'000.-- erhoben (Dispositivziffer 9 des angefochtenen Beschlusses) und die Klägerin zur Sicherstellung einer allfälligen Parteientschädigung der Beklagten in der Höhe von Fr. 115'000.-- verpflichtet (Dispositivziffer 10 des angefochtenen Beschlusses). Bei diesen Beschlüssen handelt es sich um Vor- oder Zwischenentscheide. Sie betreffen weder die Zuständigkeit oder den Ausstand ( Art. 92 BGG ) noch kann bei gegenteiliger Entscheidung sofort ein Endentscheid herbeigeführt werden ( Art. 93 Abs. 1 lit. b BGG ). Sie sind mit Beschwerde mithin nur dann selbständig anfechtbar, wenn sie einen nicht wieder gutzumachenden Nachteil bewirken können ( Art. 93 Abs. 1 lit. a BGG ).</w:t>
      </w:r>
    </w:p>
    <w:p>
      <w:r>
        <w:rPr>
          <w:b/>
        </w:rPr>
        <w:t>E. 2</w:t>
      </w:r>
    </w:p>
    <w:p>
      <w:r>
        <w:t>Die Beschlüsse in den Ziffern 5-10 des angefochtenen Entscheides können nur unter der Voraussetzung angefochten werden, dass sie einen nicht wieder gutzumachenden Nachteil im Sinne von Art. 93 Abs. 1 lit. a BGG bewirken können.</w:t>
      </w:r>
    </w:p>
    <w:p>
      <w:r>
        <w:rPr>
          <w:b/>
        </w:rPr>
        <w:t>E. 2.1</w:t>
      </w:r>
    </w:p>
    <w:p>
      <w:r>
        <w:t>Der Nachteil im Sinne von Art. 93 Abs. 1 lit. a BGG muss rechtlicher Natur sein, d.h. dass er auch durch einen für die beschwerdeführende Partei günstigen Endentscheid nicht mehr behoben werden kann ( BGE 139 V 604 E. 3.2 S. 607; 139 IV 113 E. 1 S. 115; 138 III 333 E. 1.3.1; je mit Hinweisen). Die selbständige Anfechtbarkeit von Zwischenentscheiden bildet aus prozessökonomischen Gründen eine Ausnahme vom Grundsatz, dass sich das Bundesgericht mit jeder Angelegenheit nur einmal befassen soll ( BGE 139 IV 113 E. 1 S. 115; 134 III 188 E. 2.2 S. 191 mit Hinweisen). Die Ausnahme ist restriktiv zu handhaben. Dementsprechend obliegt es dem Beschwerdeführer darzutun, dass die Voraussetzungen von Art. 93 BGG erfüllt sind, soweit deren Vorliegen nicht offensichtlich in die Augen springt ( BGE 137 III 324 E. 1.1 S. 328 f., 522 E. 1.3 ; je mit Hinweis).</w:t>
      </w:r>
    </w:p>
    <w:p>
      <w:r>
        <w:rPr>
          <w:b/>
        </w:rPr>
        <w:t>E. 2.2</w:t>
      </w:r>
    </w:p>
    <w:p>
      <w:r>
        <w:t>Nach der Rechtsprechung des Bundesgerichts können Zwischenentscheide, mit denen zwecks Sicherstellung der mutmasslichen Gerichtskosten ein Kostenvorschuss verlangt wird, einen nicht wieder gutzumachenden Nachteil bewirken, wenn die Zahlungsaufforderung mit der Androhung verbunden wird, dass im Säumnisfall auf die Klage oder das Rechtsmittel nicht eingetreten werde (Urteile 4A_356/2014 vom 5. Januar 2015 E. 1.1; 5A_582/2013 vom 12. Februar 2014 E. 1, nicht publ. in: BGE 140 III 65 ; je mit Hinweisen; vgl. auch BGE 133 V 402 E. 1.2; 128 V 199 E. 2b und 2c S. 202 ff.). Besteht der behauptete Nachteil nicht darin, dass der geleistete Betrag wegen Zahlungsunfähigkeit der Gegenpartei verloren gehen kann, sondern in der möglichen Verhinderung des Zugangs zum Gericht, so muss dargetan sein, dass dieser rechtliche Nachteil - nämlich die Säumnisfolge - wirklich droht. Dies ist nur der Fall, wenn die vorschusspflichtige Partei nicht in der Lage ist, den verlangten Betrag zu bezahlen; zur Substanziierung der Eintretensvoraussetzungen gemäss Art. 93 Abs. 1 lit. a BGG gehört daher, dass der Beschwerdeführer in einem solchen Fall seine Mittellosigkeit darlegt (Urteile 4A_356/2014 vom 5. Januar 2015 E. 1.2; 4A_602/2014 vom 10. Februar 2015 E. 1.1).</w:t>
      </w:r>
    </w:p>
    <w:p>
      <w:r>
        <w:rPr>
          <w:b/>
        </w:rPr>
        <w:t>E. 2.3</w:t>
      </w:r>
    </w:p>
    <w:p>
      <w:r>
        <w:t>Die Vorinstanz hat die Beschwerdeführerin im angefochtenen Beschluss zur Sicherheitsleistung der Parteientschädigung verpflichtet, weil sie den Kautionsgrund nach Art. 99 lit. b ZPO ebenso wie die Voraussetzung von Art. 99 lit. d ZPO als erfüllt ansah. Die Vorinstanz ging in diesem Zusammenhang davon aus, dass die Klägerin seit Mitte Juli 2013 geschäftlich inaktiv ist und nach eigenen Aussagen dem wirtschaftlich hinter ihr stehenden C.________ kein existenzsicherndes Einkommen mehr bezahlen und auch den Betrag von Fr. 270'000.-- für die Leistung des Vorschusses nicht aufbringen könne. Auch wenn die Klägerin bestreite, dass sie insolvent sei, kam die Vorinstanz aufgrund der Vorbringen der Beschwerdeführerin zum Schluss, dass sie weder über die nötigen Mittel noch über den nötigen Kredit verfüge, um den Vorschuss von Fr. 270'000.-- aufzubringen; sie hielt die Zahlungsunfähigkeit im Sinne von Art. 99 lit. b ZPO für glaubhaft gemacht. Die Vorinstanz fügte sodann an, es sei davon auszugehen, dass die Beschwerdeführerin keine wirtschaftlich selbständige Einheit bilde, sondern zu einem wesentlichen Teil ein Werkzeug im Dienste von C.________ sei. Dieser lebe offenbar in angespannten finanziellen Verhältnissen, sei doch über ihn der Privatkonkurs eröffnet worden. Mit der Übertragung der Stammanteile, im wesentlichen an seine Familienangehörigen, habe er seine beherrschende Stellung nicht aufgegeben, weshalb die Vorinstanz es auch als glaubhaft ansah, dass deshalb die Parteientschädigung der Beschwerdegegnerin erheblich gefährdet sei - zumal eine Auffanggesellschaft gegründet worden sei. Die Beschwerdeführerin stimmt diesen Erwägungen der Vorinstanz zu und bestreitet aus diesem Grund ihre Sicherstellungspflicht nicht grundsätzlich.</w:t>
      </w:r>
    </w:p>
    <w:p>
      <w:r>
        <w:rPr>
          <w:b/>
        </w:rPr>
        <w:t>E. 2.4</w:t>
      </w:r>
    </w:p>
    <w:p>
      <w:r>
        <w:t>Wenn die Sachlage nicht offensichtlich ist, obliegt der Beschwerdeführerin aufzuzeigen, inwiefern ihr ein nicht wieder gutzumachender Nachteil erwächst (oben E. 2.1). Inwiefern ein rechtlicher Nachteil aus der prozessleitenden Verfügung erwachsen könnte, wonach die Frist zur Duplik nicht umgehend angesetzt wird, begründet die Beschwerdeführerin nicht ansatzweise. Der rechtliche Nachteil, der ihr im Übrigen durch die angefochtene Verpflichtung zur Zahlung von Kosten und Entschädigungen sowie von Vorschüssen erwächst, könnte allein in der Verweigerung des Zugangs zum Gericht liegen und hängt davon ab, dass die Beschwerdeführerin nicht in der Lage ist, die verfügten Vorschüsse fristgerecht zu leisten. Dazu lässt sich jedoch den Ausführungen in der Rechtsschrift der Beschwerdeführerin nichts entnehmen. Sie bestreitet im Grundsatz nicht, dass sie zur Leistung von Sicherheiten und Vorschüssen verpflichtet ist und sie betont, dass sie einen Teil davon bereits bezahlt hat. Im Übrigen beschränkt sie sich darauf, die Höhe der - nach dem Streitwert bemessenen - Kosten und Vorschüsse zu beanstanden. Die finanziellen Verhältnisse der Klägerin sind undurchsichtig. Mit dem blossen Verweis auf die Erwägungen der Vorinstanz, welche hinreichende Indizien für die Sicherstellung der Parteientschädigung der Gegenpartei aus den Aussagen der Klägerin selbst und den persönlichen finanziellen Verhältnissen eines ihrer Gesellschafter abgeleitet hat, lässt sich die Begründung der Mittellosigkeit der Beschwerdeführerin nicht ersetzen. Denn die Beschwerdeführerin hat die ihr auferlegten - erheblichen - Vorschüsse bis anhin aufzubringen vermocht, weshalb nicht auf der Hand liegt, dass und weshalb ihr dies im vorliegenden Fall nicht möglich sein soll. Da eine einschlägige Begründung fehlt, kann auf die Beschwerde nicht eingetreten werden.</w:t>
      </w:r>
    </w:p>
    <w:p>
      <w:r>
        <w:rPr>
          <w:b/>
        </w:rPr>
        <w:t>E. 3</w:t>
      </w:r>
    </w:p>
    <w:p>
      <w:r>
        <w:t>Auf die Beschwerde kann nicht eingetreten werden.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