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4A_562/2009 vom 27. Januar 2010</w:t>
      </w:r>
    </w:p>
    <w:p>
      <w:r>
        <w:t>Bundesgericht, 2010-01-27, FR</w:t>
      </w:r>
    </w:p>
    <w:p>
      <w:r>
        <w:rPr>
          <w:b/>
        </w:rPr>
        <w:t xml:space="preserve">Quelle: </w:t>
      </w:r>
      <w:r>
        <w:t>https://mcp.opencaselaw.ch/entscheid/bger_4A_562_2009</w:t>
      </w:r>
    </w:p>
    <w:p>
      <w:r>
        <w:t>FR: TF 4A_562/2009 du 27 janvier 2010</w:t>
      </w:r>
    </w:p>
    <w:p>
      <w:r>
        <w:t>IT: TF 4A_562/2009 del 27 gennaio 2010</w:t>
      </w:r>
    </w:p>
    <w:p>
      <w:pPr>
        <w:pStyle w:val="Heading2"/>
      </w:pPr>
      <w:r>
        <w:t>Erwägungen</w:t>
      </w:r>
    </w:p>
    <w:p>
      <w:r>
        <w:rPr>
          <w:b/>
        </w:rPr>
        <w:t>E. 1.1</w:t>
      </w:r>
    </w:p>
    <w:p>
      <w:r>
        <w:t>En l'espèce, l'arbitre unique a rendu, au sujet de sa compétence, une décision séparée ( art. 8 al. 1 CA ), susceptible de recours immédiat ( art. 9 CA ). Admettant partiellement l'exception d'incompétence soulevée par X.________, il s'est déclaré incompétent pour statuer sur une partie des prétentions élevées à l'encontre du prénommé. Dans cette mesure, il a rendu une décision finale (cf., mutatis mutandis, l'arrêt 4A_452/2007 du 29 février 2008, consid. 1.2 et les références). Seule cette partie de la décision séparée sur la compétence a fait l'objet du recours en nullité soumis à la Chambre des recours du Tribunal cantonal vaudois. Aussi l'arrêt rendu par cette autorité, qui revêt la même nature que la sentence entreprise, constitue-t-il, sur ce point, une décision finale au sens de l' art. 90 LTF . Cette décision a été rendue en matière civile ( art. 72 al. 1 LTF ), par une autorité cantonale de dernière instance ( art. 75 al. 1 LTF ), dans une affaire pécuniaire dont la valeur litigieuse dépasse largement le seuil fixé à l' art. 74 al. 1 let. a ou b LTF pour la recevabilité du recours en matière civile. Ayant pris part à la procédure devant l'autorité précédente, qui leur a donné tort, les recourants ont un intérêt juridique à l'annulation de l'arrêt attaqué, lequel confirme une sentence qui les oblige à saisir les tribunaux ordinaires pour faire valoir une partie des prétentions qu'ils ont soumises à l'arbitre unique; partant, leur qualité pour recourir doit être admise ( art. 76 al. 1 LTF ). Le présent recours, qui a été déposé en temps utile ( art. 100 al. 1 LTF ) et dans la forme prévue par la loi ( art. 42 LTF ), est ainsi recevable. Que son intitulé soit erroné est sans conséquence: il ressort des indications fournies à la page 2 du mémoire de recours que les recourants n'ont pas entendu interjeter un "recours en nullité", mais un recours en matière civile dont les conditions sont toutes réalisées en l'espèce (cf. ATF 134 III 379 consid. 1.2 p. 382).</w:t>
      </w:r>
    </w:p>
    <w:p>
      <w:r>
        <w:rPr>
          <w:b/>
        </w:rPr>
        <w:t>E. 1.2</w:t>
      </w:r>
    </w:p>
    <w:p>
      <w:r>
        <w:t>Saisi d'un recours en matière civile, le Tribunal fédéral vérifie librement l'interprétation et l'application des dispositions concordataires faites par l'autorité intimée ( art. 95 let . e LTF; arrêt 4A_3/2009 du 20 mars 2009 consid. 1.3). Il devra donc dire, sur le vu des griefs articulés par les recourants, si l'autorité intimée a violé le concordat en confirmant la décision de l'arbitre unique d'exclure sa compétence pour une partie des prétentions qui lui ont été soumises (cf. art. 36 let. b CA ).</w:t>
      </w:r>
    </w:p>
    <w:p>
      <w:r>
        <w:rPr>
          <w:b/>
        </w:rPr>
        <w:t>E. 2.1</w:t>
      </w:r>
    </w:p>
    <w:p>
      <w:r>
        <w:t>L'interprétation d'une convention d'arbitrage, qu'il s'agisse d'un compromis ou d'une clause compromissoire (cf. art. 4 CA ), se fait selon les règles générales d'interprétation des contrats. Il faut donc commencer par rechercher la volonté réelle des parties. Si cette volonté ne peut être établie, il y a lieu de procéder à une interprétation objective de la convention d'arbitrage afin de déterminer le sens que les parties devaient donner de bonne foi, compte tenu de toutes les circonstances, à leurs manifestations de volonté réciproques ( ATF 130 III 66 consid. 3.2 p. 71 et les arrêts cités).</w:t>
      </w:r>
    </w:p>
    <w:p>
      <w:r>
        <w:t>La jurisprudence préconise de ne pas admettre trop facilement qu'une convention d'arbitrage a été conclue, si ce point est contesté ( ATF 129 III 675 consid. 2.3 p. 680 ss, 128 III 50 consid. 2c/aa p. 58, 116 Ia 56 consid. 3b p. 58). Cependant, une fois le principe de l'arbitrage acquis, elle fait preuve de souplesse quant aux modalités de la procédure arbitrale ( ATF 130 III 66 consid. 3.2 p. 71 s. et les références) et à l'étendue du litige couvert par la convention d'arbitrage ( ATF 116 Ia 56 consid. 3b p. 58 s.). Cette interprétation large, conforme aux principes d'utilité et d'économie de la procédure, ne saurait toutefois impliquer une présomption en faveur de la compétence des arbitres (KAUFMANN-KOHLER/RIGOZZI, Arbitrage international, 2006, n° 253 i.f. et l'auteur cité).</w:t>
      </w:r>
    </w:p>
    <w:p>
      <w:r>
        <w:rPr>
          <w:b/>
        </w:rPr>
        <w:t>E. 2.2</w:t>
      </w:r>
    </w:p>
    <w:p>
      <w:r>
        <w:t>C'est à la lumière de ces principes qu'il conviendra d'examiner les griefs formulés par les recourants. Il s'impose toutefois de relever, à titre liminaire, que, pour l'essentiel, ceux-ci s'en prennent directement à la sentence, comme s'ils attaquaient cette dernière par un recours en nullité ( art. 36 CA ), ce qu'illustre d'ailleurs le fait qu'ils ont intitulé ainsi leur mémoire de recours. Or, contrairement à ce qu'ils soutiennent, l'arrêt cantonal ne se borne pas à reprendre le raisonnement de l'arbitre, puisque l'autorité intimée y réfute les diverses critiques visant ce raisonnement. Aussi les recourants auraient-il dû s'en prendre aux motifs que les juges vaudois ont exposés dans leur arrêt pour réfuter ces critiques ( ATF 133 III 634 consid. 1.1.1). Partant, dans la mesure où ils ne s'y sont guère employés, la recevabilité des griefs articulés par eux dans le présent recours fédéral est déjà sujette à caution.</w:t>
      </w:r>
    </w:p>
    <w:p>
      <w:r>
        <w:rPr>
          <w:b/>
        </w:rPr>
        <w:t>E. 3.1</w:t>
      </w:r>
    </w:p>
    <w:p>
      <w:r>
        <w:t>Sans être contredit par les recourants, l'arbitre a constaté, sous ch. VI de sa sentence, que la commune et réelle intention des parties sur le point controversé n'a pas pu être établie. Seul est, dès lors, litigieux le résultat de l'interprétation objective des manifestations de volonté des parties à laquelle il a procédé.</w:t>
      </w:r>
    </w:p>
    <w:p>
      <w:r>
        <w:rPr>
          <w:b/>
        </w:rPr>
        <w:t>E. 3.2.1</w:t>
      </w:r>
    </w:p>
    <w:p>
      <w:r>
        <w:t>Dans un premier moyen, les recourants font valoir que la solution retenue n'est pas conforme au contrat de pool d'actionnaires du 15 juin 2004. Ils expliquent, à ce propos, que leur conclusion reconventionnelle n° 2 découlait notamment de la violation de l'art. I de ce contrat de société simple, qui oblige les associés à favoriser le développement de V.________ et des sociétés détenues par celle-ci. Or, poursuivent-ils, en vertu de l' art. 536 CO , aucun associé ne peut faire pour son compte personnel des affaires qui seraient contraires ou préjudiciables au but de la société. Dès lors, selon eux, comme cette obligation de fidélité subsiste même pendant la période de dissolution et de liquidation de la société, c'est à tort que la cour cantonale a avalisé le raisonnement de l'arbitre d'après lequel l'obligation de fidélité incombant à X.________ et incluant une prohibition de concurrence s'était éteinte lorsque les rapports de travail et la qualité de sociétaire du prénommé avaient pris fin. Partant, de l'avis des recourants, les juges vaudois leur auraient dénié sans raison valable le droit de se fonder sur le contrat du 15 juin 2004 et d'invoquer à leur profit la clause compromissoire insérée à l'art. X de ce contrat.</w:t>
      </w:r>
    </w:p>
    <w:p>
      <w:r>
        <w:rPr>
          <w:b/>
        </w:rPr>
        <w:t>E. 3.2.2</w:t>
      </w:r>
    </w:p>
    <w:p>
      <w:r>
        <w:t>Il est exact que l'obligation de fidélité, au sens de l' art. 536 CO , survit à la dissolution de la société simple et vaut aussi pour la période de liquidation, quoique dans une moindre mesure (FELLMANN/MÜLLER, Commentaire bernois, 2006, n° 34 ad art. 536 CO ). Vrai est-il aussi que la société simple dont il s'agit n'a pas encore été liquidée; du moins, aucune des parties ne soutient le contraire. Cependant, les recourants ne sauraient rien déduire de cette double constatation en faveur de leur thèse. L' art. 536 CO ne s'applique, en effet, qu'aux associés, comme cela ressort de son texte même. Ainsi, lorsqu'un associé perd cette qualité, son obligation de fidélité s'éteint en principe ispo jure, sauf convention contraire, bien que la société simple perdure (sur cette question et de manière nuancée, cf. FELLMANN/MÜLLER, op. cit., n°s 31 à 33 ad art. 536 CO avec de nombreuses références).</w:t>
      </w:r>
    </w:p>
    <w:p>
      <w:r>
        <w:t>Conformément à l'art. III du contrat de pool d'actionnaires, X.________ a perdu la qualité d'associé de la société simple en question lorsqu'il a démissionné de D.________ SA (ex-W.________ SA) à fin juillet 2006. A partir de ce moment-là, il n'était donc plus tenu de respecter l'obligation légale de fidélité envers les autres associés; il n'est, au demeurant, pas établi ni même allégué qu'il se serait engagé à l'égard de ceux-ci, par une convention spéciale, à ne pas leur faire concurrence. C'est, dès lors, à juste titre que l'arbitre a exclu la possibilité pour les recourants de déduire directement du contrat de pool d'actionnaires une prohibition de concurrence applicable aux actes prétendument déloyaux commis par X.________ après qu'il eut perdu sa qualité d'associé et, partant, qu'il leur a dénié le droit d'invoquer la clause compromissoire incluse dans ledit contrat à l'égard de ces actes-là. Aussi, en confirmant la sentence sur ce point, la cour cantonale n'a-t-elle pas violé le concordat.</w:t>
      </w:r>
    </w:p>
    <w:p>
      <w:r>
        <w:rPr>
          <w:b/>
        </w:rPr>
        <w:t>E. 3.3.1</w:t>
      </w:r>
    </w:p>
    <w:p>
      <w:r>
        <w:t>Aux dires des recourants, la solution retenue par l'arbitre et confirmée par l'autorité intimée ne serait pas non plus compatible avec le compromis arbitral. Selon eux, X.________, en contresignant, le 6 juin 2007, le compromis arbitral qu'ils avaient conclu le 29 mai 2007, en son absence, avec Y.________, avait accepté que l'arbitre ait la même compétence ratione materiae envers lui qu'à l'endroit de cette autre partie. Tel était du moins le sens à donner, selon le principe de la confiance, à son adhésion audit compromis. De ce fait, comme, en vertu d'une disposition expresse de ce compromis, l'arbitre était compétent pour trancher le litige concernant la prétendue violation de la clause de prohibition de concurrence figurant dans le contrat de travail ayant lié W.________ SA (aujourd'hui: D.________ SA) et Y.________, il l'était tout autant pour résoudre la même question litigieuse formant l'objet de la conclusion reconventionnelle n° 2 prise par eux à l'encontre de X.________.</w:t>
      </w:r>
    </w:p>
    <w:p>
      <w:r>
        <w:rPr>
          <w:b/>
        </w:rPr>
        <w:t>E. 3.3.2</w:t>
      </w:r>
    </w:p>
    <w:p>
      <w:r>
        <w:t>Semblable argumentation fait fi d'un élément capital, déjà mis au jour par les juges vaudois. Il s'agit des constatations suivantes, faites dans le procès-verbal de la séance de mise en oeuvre de l'arbitrage du 9 octobre 2007:</w:t>
      </w:r>
    </w:p>
    <w:p>
      <w:r>
        <w:t>"Les clients de Me Micheli [i. e. les recourants] estiment avoir des prétentions à faire valoir contre X.________ en sus des questions mentionnées par le compromis arbitral signé les 20 mai et 6 juin 2007. Ils souhaiteraient dès lors pouvoir les intégrer dans la procédure arbitrale plutôt que de devoir mener un second procès séparé. X.________ estime au contraire que l'arbitrage au principe duquel il a adhéré en contresignant le 6 juin 2007 le compromis ... ne saurait être étendu au-delà des points mentionnés dans le compromis."</w:t>
      </w:r>
    </w:p>
    <w:p>
      <w:r>
        <w:t>Avec la cour cantonale, il faut admettre, sur le vu de ces constatations, que les recourants ont concédé, de la sorte, que les prétentions élevées par eux à l'encontre de X.________ du chef de la violation de la clause de prohibition de concurrence insérée dans son contrat de travail excédaient le cadre des questions mentionnées dans le compromis arbitral. On verrait mal, sinon, la raison pour laquelle les recourants ont indiqué qu'ils ne souhaitaient pas devoir mener un second procès séparé. Qu'ils aient simplement annoncé à l'arbitre, lors de la séance du 9 octobre 2007, leur intention de faire valoir devant lui la prétention litigieuse, bien qu'elle ne figurât pas expressément dans la liste non exhaustive mentionnée dans le compromis arbitral, comme ils le soutiennent dans leur recours, ne colle pas non plus avec les déclarations faites par eux lors de ladite séance: si cette prétention-là était couverte par le compromis arbitral auquel X.________ avait adhéré, ils se seraient exprimés autrement et n'auraient pas évoqué l'éventualité de devoir ouvrir une autre action contre le prénommé.</w:t>
      </w:r>
    </w:p>
    <w:p>
      <w:r>
        <w:rPr>
          <w:b/>
        </w:rPr>
        <w:t>E. 3.4.1</w:t>
      </w:r>
    </w:p>
    <w:p>
      <w:r>
        <w:t>Les recourants contestent, par ailleurs, la manière dont l'arbitre a appliqué aux faits de la cause l'analyse "très fine et poussée de la doctrine" relative à la reconvention en matière de procédure arbitrale, à laquelle il s'est livrée. A les en croire, cette analyse aurait dû amener l'arbitre à se déclarer compétent pour connaître de leur conclusion reconventionnelle n° 2 tendant au paiement par Y.________ et X.________, en tant que débiteurs solidaires, de la somme de 900'000 fr. La prétention élevée à l'appui de cette conclusion se fonderait, en effet, sur une activité concurrente exercée conjointement par ces deux personnes au préjudice de D.________ SA, leur ex-employeur, et, par ricochet, au détriment des recourants en leur qualité d'actionnaires (sic) de cette société; elle reposerait, juridiquement, à la fois sur la violation du devoir de fidélité que le contrat de pool d'actionnaires imposait aux prénommés et sur la violation de la clause de prohibition de concurrence contenue dans les contrats de travail conclus par ceux-ci. Dérivant de la même cause juridique ou du même fait dommageable, cette prétention serait couverte par les deux conventions d'arbitrage existantes - la clause compromissoire insérée dans le contrat de pool d'actionnaires, d'une part, le compromis des 27 mai et 6 juin 2007, d'autre part - qui ne présenteraient aucune incompatibilité. Au demeurant, les parties concernées seraient les mêmes.</w:t>
      </w:r>
    </w:p>
    <w:p>
      <w:r>
        <w:rPr>
          <w:b/>
        </w:rPr>
        <w:t>E. 3.4.2</w:t>
      </w:r>
    </w:p>
    <w:p>
      <w:r>
        <w:t>Le raisonnement tenu par les recourants repose sur de fausses prémisses. Il suppose, en effet, que la prétention visée par la conclusion reconventionnelle n° 2, au sujet de laquelle l'arbitre s'est déclaré incompétent, découle d'actes commis en violation de l'obligation de fidélité incombant ex lege aux personnes liées par le contrat de pool d'actionnaires du 15 juin 2004. Or, cette hypothèse a été écartée par l'arbitre dont la sentence a été confirmée sur ce point par la cour cantonale sans que l'on puisse lui en faire grief (cf. consid. 3.2.2 ci-dessus).</w:t>
      </w:r>
    </w:p>
    <w:p>
      <w:r>
        <w:t>En réalité, comme l'arbitre l'a bien vu, ladite prétention, dans la mesure où elle concerne la période postérieure à la démission de X.________, ne peut se fonder que sur la violation de la prohibition de concurrence que le contrat de travail imposait à l'employé démissionnaire. Aussi, pour pouvoir faire l'objet d'une reconvention, cette prétention aurait-elle dû être couverte par une convention d'arbitrage (cf. art. 377 al. 2 CPC non encore en vigueur), condition que ne remplissait aucune des deux conventions invoquées par les recourants. Cette convention d'arbitrage aurait dû être insérée dans le contrat de travail ayant lié D.________ SA et X.________. Faute d'y figurer, la prétention litigieuse, élevée sous la conclusion reconventionnelle n° 2, ne pouvait donc pas être soumise à l'arbitre.</w:t>
      </w:r>
    </w:p>
    <w:p>
      <w:r>
        <w:rPr>
          <w:b/>
        </w:rPr>
        <w:t>E. 3.5.1</w:t>
      </w:r>
    </w:p>
    <w:p>
      <w:r>
        <w:t>Les recourants soulignent encore - apparemment avec raison -qu'il semble y avoir une certaine contradiction entre le dispositif de la sentence attaquée et le passage topique des motifs de droit énoncés dans cette sentence (p. 16 ch. XII al. 1 dernière phrase), en ce sens que, dans celui-là, l'arbitre se déclare compétent, sans aucune limite, pour examiner la prétention reconventionnelle fondée sur "une éventuelle violation du contrat de pool d'actionnaires du 15 juin 2004", alors que, dans ceux-ci, il limitait sa compétence touchant la même violation aux actes antérieurs au moment où la démission de X.________ de son poste au service de D.________ SA est devenue effective et où sa qualité de membre de la société simple a en conséquence pris fin (loc. cit.). Cela étant, force est de constater que les intéressés n'indiquent pas de quelle violation du concordat ils entendent se plaindre en évoquant le manque de clarté de la solution retenue par l'arbitre. En outre et surtout, ils n'ont pas formulé de grief à ce sujet (cf. art. 36 let . h CA en liaison avec l' art. 39 CA ) devant la Chambre des recours, de sorte qu'ils ne sauraient le faire pour la première fois à ce stade de la procédure (principe de l'épuisement des griefs).</w:t>
      </w:r>
    </w:p>
    <w:p>
      <w:r>
        <w:rPr>
          <w:b/>
        </w:rPr>
        <w:t>E. 3.5.2</w:t>
      </w:r>
    </w:p>
    <w:p>
      <w:r>
        <w:t>Enfin, la solution retenue comporterait des inconvénients majeurs, aux dires des recourants, dès lors qu'elle compliquera le déroulement de la procédure arbitrale et pourra aboutir à des jugements contradictoires au sujet de la responsabilité des deux personnes recherchées à raison d'une activité concurrente. Pourtant, de tels inconvénients pourraient parfaitement être évités en écartant le déclinatoire élevé par X.________, à en croire les recourants.</w:t>
      </w:r>
    </w:p>
    <w:p>
      <w:r>
        <w:t>La solution incriminée n'est certes pas de nature à simplifier le déroulement futur de la procédure. L'arbitre est du reste le premier à en convenir et la cour cantonale ne dit pas autre chose. Cependant, il ne saurait être question de sacrifier les droits que la Constitution fédérale accorde à une partie sur l'autel du principe de l'économie de la procédure, à plus forte raison lorsque cette partie n'est pas à l'origine de l'imprécision ayant abouti à la solution controversée. Concrètement, on ne peut pas demander à X.________ de renoncer à porter sa cause devant un tribunal établi par la loi ( art. 30 al. 1 Cst. ; cf. ATF 128 III 50 consid. 2c/aa p. 58), à la seule fin d'éviter que la bonne marche de la procédure arbitrale ne soit entravée, alors que les recourants n'ont pas apporté le soin voulu à la rédaction du compromis arbitral. En effet, le prénommé ne peut pas se voir reprocher de vouloir soumettre à la juridiction étatique spécialisée, c'est-à-dire au tribunal de prud'hommes compétent, le différend qui l'oppose à son ex-employeur et qui n'est pas couvert par une convention d'arbitrage. Les recourants ne lui font pas grief, au demeurant, de s'être prévalu de cette garantie constitutionnelle contrairement aux règles de la bonne foi.</w:t>
      </w:r>
    </w:p>
    <w:p>
      <w:r>
        <w:rPr>
          <w:b/>
        </w:rPr>
        <w:t>E. 4</w:t>
      </w:r>
    </w:p>
    <w:p>
      <w:r>
        <w:t>Il suit de là que l'autorité intimée n'a pas violé le concordat en confirmant la sentence attaquée. ll y a lieu, dès lors, de rejeter le présent recours. Par conséquent, ses auteurs seront condamnés solidairement à payer les frais de la procédure fédérale ( art. 66 al. 1 et 5 LTF ) et à indemniser X.________ ( art. 68 al. 1, 2 et 4 LTF ). Quant au second intimé, à savoir Y.________, il s'en est simplement remis à justice au sujet des conclusions des recourants, si bien qu'il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