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4A_562/2008 vom 30. Januar 2009</w:t>
      </w:r>
    </w:p>
    <w:p>
      <w:r>
        <w:t>Bundesgericht, 2009-01-30, DE</w:t>
      </w:r>
    </w:p>
    <w:p>
      <w:r>
        <w:rPr>
          <w:b/>
        </w:rPr>
        <w:t xml:space="preserve">Quelle: </w:t>
      </w:r>
      <w:r>
        <w:t>https://mcp.opencaselaw.ch/entscheid/bger_4A_562_2008</w:t>
      </w:r>
    </w:p>
    <w:p>
      <w:r>
        <w:t>FR: TF 4A_562/2008 du 30 janvier 2009</w:t>
      </w:r>
    </w:p>
    <w:p>
      <w:r>
        <w:t>IT: TF 4A_562/2008 del 30 gennaio 2009</w:t>
      </w:r>
    </w:p>
    <w:p>
      <w:pPr>
        <w:pStyle w:val="Heading2"/>
      </w:pPr>
      <w:r>
        <w:t>Erwägungen</w:t>
      </w:r>
    </w:p>
    <w:p>
      <w:r>
        <w:rPr>
          <w:b/>
        </w:rPr>
        <w:t>E. 1</w:t>
      </w:r>
    </w:p>
    <w:p>
      <w:r>
        <w:t>Das Bundesgericht prüft von Amtes wegen und mit freier Kognition, ob ein Rechtsmittel zulässig ist ( Art. 29 Abs. 1 BGG ; BGE 133 III 489 E. 3, 645 E. 2 S. 647).</w:t>
      </w:r>
    </w:p>
    <w:p>
      <w:r>
        <w:rPr>
          <w:b/>
        </w:rPr>
        <w:t>E. 1.1</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Der Beschwerdeführer muss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mit Hinweisen).</w:t>
      </w:r>
    </w:p>
    <w:p>
      <w:r>
        <w:rPr>
          <w:b/>
        </w:rPr>
        <w:t>E. 1.2</w:t>
      </w:r>
    </w:p>
    <w:p>
      <w:r>
        <w:t>Vorliegend verlangt der Beschwerdeführer hinsichtlich seiner abgewiesenen Widerklage lediglich die Aufhebung des angefochtenen Urteils sowie die Rückweisung zur Neubeurteilung durch die Vorinstanz. Dass das Bundesgericht im Falle der Gutheissung der Beschwerde nicht selbst in der Lage wäre, ein Urteil zu fällen, und die Streitsache an die Vorinstanz zurückweisen müsste, geht aus dem angefochtenen Entscheid nicht ohne weiteres hervor. Der Beschwerdeführer begründet seinen Antrag einzig damit, dass im Auftragsrecht, das er auf die von ihm geltend gemachten Ansprüche angewendet wissen will, ein anderer Sorgfalts- und Verschuldensmassstab gelte als beim von der Vorinstanz angewendeten Arbeitsvertragsrecht. Selbst wenn dies jedoch zutreffen sollte, ist nicht einzusehen, weshalb es dem Bundesgericht nicht möglich sein sollte, die Widerklage nach Massgabe der anwendbaren Gesetzesbestimmungen zu beurteilen.</w:t>
      </w:r>
    </w:p>
    <w:p>
      <w:r>
        <w:t>Der Beschwerdeführer hat daher hinsichtlich der abgewiesenen Widerklageforderung keinen rechtsgenüglichen Antrag gestellt, weshalb insoweit auf die Beschwerde nicht eingetreten werden kann.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2.3</w:t>
      </w:r>
    </w:p>
    <w:p>
      <w:r>
        <w:t>Diese Grundsätze verkennt der Beschwerdeführer in verschiedener Hinsicht. So stellt er seinen rechtlichen Ausführungen eine "Kurzzusammenfassung des Sachverhalts" voran, in der er die Hintergründe des Vertragsschlusses zwischen den Parteien aus eigener Sicht schildert. Er weicht darin in zahlreichen Punkten von den tatsächlichen Feststellungen der Vorinstanz ab oder erweitert diese, ohne indessen eine Ausnahme von der Sachverhaltsbindung gemäss Art. 105 Abs. 2 und Art. 97 Abs. 1 BGG geltend zu machen. Seine Vorbringen haben daher insoweit unbeachtet zu bleiben.</w:t>
      </w:r>
    </w:p>
    <w:p>
      <w:r>
        <w:t>Auch in seiner weiteren Beschwerdebegründung weicht der Beschwerdeführer wiederholt vom vorinstanzlich festgestellten Sachverhalt ab oder geht über diesen hinaus. So bringt er unter anderem vor, D.E.________ sei dem Beschwerdeführer aufgrund dessen Krankheit (Hirnblutung bzw. Hirnschlag) "intellektuell und kognitiv überlegen" gewesen, ohne jedoch eine Rechtsverletzung geltend zu machen.</w:t>
      </w:r>
    </w:p>
    <w:p>
      <w:r>
        <w:t>Der Beschwerdeführer wirft der Vorinstanz in seinen weiteren Ausführungen zwar eine offensichtlich unrichtige bzw. willkürliche Feststellung des Sachverhalts vor. Er macht dabei geltend, die Unterdrückung erstellter wesentlicher Tatsachen stelle eine Verletzung im Sinne von Art. 97 BGG dar, zeigt jedoch nicht auf, um welche konkreten Tatsachen es sich dabei handeln soll und inwiefern diese rechtlich von Bedeutung gewesen wären. Hinsichtlich der vorinstanzlichen Erwägung, wonach D.E.________ in einem Subordinationsverhältnis zum Beschwerdeführer gestanden habe, listet der Beschwerdeführer eine ganze Reihe von ihm im vorinstanzlichen Verfahren vorgebrachter Behauptungen auf, die seiner Ansicht nach gar nicht berücksichtigt oder offensichtlich falsch festgestellt worden sein sollen. Er schliesst seine diesbezüglichen Ausführungen mit der Behauptung, damit sei erstellt, "dass die Vorinstanz die vorgelegten Beweise willkürlich, unsystematisch und ausserordentlich einseitig würdigte, zentrale Argumente des Beschwerdeführers nicht berücksichtigte und aus einer pointilistischen Auswahl der Indizien tendenziös alle Sachverhaltselemente heraussuchte, die auf ein arbeitsrechtliches Verhältnis" hindeuteten. Mit diesen pauschalen Vorbringen ist jedoch weder eine Verletzung des Willkürverbots ( Art. 9 BV ) hinreichend dargetan noch wird ersichtlich, welche Sachverhaltsfeststellungen der Vorinstanz der Beschwerdeführer als offensichtlich unrichtig rügen will. Auch diese Vorbringen haben daher unbeachtlich zu bleiben.</w:t>
      </w:r>
    </w:p>
    <w:p>
      <w:r>
        <w:t>Da die Beschwerdeschrift in unzulässiger Weise Sachverhaltsrügen und rechtliche Vorbringen vermengt, ist im Folgenden auf die rechtlichen Vorbringen nur soweit einzugehen, als daraus wenigstens sinngemäss erkennbar ist, welche Bundesrechtssätze und inwiefern diese durch den angefochtenen Entscheid verletzt sein sollen, wenn die verbindlichen Feststellungen im angefochtenen Entscheid zugrunde gelegt werden ( Art. 105 Abs. 1 BGG ).</w:t>
      </w:r>
    </w:p>
    <w:p>
      <w:r>
        <w:rPr>
          <w:b/>
        </w:rPr>
        <w:t>E. 3</w:t>
      </w:r>
    </w:p>
    <w:p>
      <w:r>
        <w:t>Der Beschwerdeführer wirft der Vorinstanz vor, sie habe das Rechtsverhältnis zwischen ihm und D.E.________ zu Unrecht als Arbeitsvertrag qualifiziert. Er ist der Auffassung, es sei nicht ein Arbeits- sondern ein Auftragsverhältnis zustande gekommen, das nach Art. 404 OR jederzeit habe aufgelöst werden können.</w:t>
      </w:r>
    </w:p>
    <w:p>
      <w:r>
        <w:rPr>
          <w:b/>
        </w:rPr>
        <w:t>E. 3.1</w:t>
      </w:r>
    </w:p>
    <w:p>
      <w:r>
        <w:t>Die Vorinstanz erwog, dass dem Beschwerdeführer eine Weisungsbefugnis zustand, von der er jederzeit hätte Gebrauch machen können. Die Tätigkeit von D.E.________ sei nicht an bestimmte Einzelprojekte gebunden gewesen, sondern habe eine Vielzahl wechselnder Geschäfte umfasst. Im Zentrum des Rechtsverhältnisses habe nicht ein selbständiges Hinarbeiten des Verpflichteten auf ein konkretes Ziel gestanden, sondern ein weisungsgebundenes Tätigwerden im Rahmen einer von spezifischen Arbeitsvorgängen unabhängigen zeitlichen Bindung. D.E.________ habe seine Aufgaben in Zusammenarbeit mit anderen Dienstnehmern des Beschwerdeführers wahrgenommen und unter Benutzung von Arbeitsgeräten und technischer Infrastruktur des Beschwerdeführers gehandelt. Der Beschwerdeführer selbst habe D.E.________ sodann unentschuldigte Absenzen vorgeworfen, eine Ferienabrechnung für das Jahr 2003 angefordert und seine sozialversicherungsrechtliche Arbeitgeberstellung vorbehaltlos anerkannt. Auch sei D.E.________ in erheblichem Masse wirtschaftlich abhängig gewesen, da er im Umfang eines vollen Arbeitspensums ausschliesslich für den Beschwerdeführer tätig gewesen sei. Die Vorinstanz verweist schliesslich auf die Erwägungen des erstinstanzlichen Richters, der namentlich auf die gemäss Stellenbeschrieb vertraglich eingeräumten Weisungs- und Kontrollbefugnisse des Beschwerdeführers abstellte sowie den Umstand, dass D.E.________ verpflichtet war, dem Beschwerdeführer regelmässig Bericht zu erstatten, weshalb von einem Subordinationsverhältnis auszugehen sei.</w:t>
      </w:r>
    </w:p>
    <w:p>
      <w:r>
        <w:rPr>
          <w:b/>
        </w:rPr>
        <w:t>E. 3.2</w:t>
      </w:r>
    </w:p>
    <w:p>
      <w:r>
        <w:t>Was der Beschwerdeführer gegen die vorinstanzliche Qualifikation des Vertragsverhältnisses zwischen ihm und D.E.________ vorbringt, ist nicht geeignet, eine Verletzung von Bundesrecht aufzuzeigen, soweit sich seine Ausführungen nicht ohnehin in appellatorischer Kritik an der vorinstanzlichen Beweiswürdigung erschöpfen.</w:t>
      </w:r>
    </w:p>
    <w:p>
      <w:r>
        <w:rPr>
          <w:b/>
        </w:rPr>
        <w:t>E. 3.2.1</w:t>
      </w:r>
    </w:p>
    <w:p>
      <w:r>
        <w:t>Verfehlt ist zunächst der Vorwurf des Beschwerdeführers, die Vorinstanz habe ihm zu Unrecht die "Beweislast für das Vorliegen eines Auftrags" auferlegt. Die Vorinstanz hat vielmehr zutreffend festgehalten, dass diejenige Partei, die sich auf eine Simulation nach Art. 18 Abs. 1 OR beruft, den vom Vertragswortlaut abweichenden wirklichen Willen zu beweisen habe (vgl. BGE 131 III 49 E. 4.1.1 S. 55; 112 II 337 E. 4a S. 342 f.). Der Beschwerdeführer sei sodann den Nachweis eines vom Vertragswortlaut abweichenden übereinstimmenden wirklichen Willens der Vertragsparteien schuldig geblieben. Damit und mit der anschliessenden Qualifikation des abgeschlossenen Vertrages vom 21. August 1998 hat die Vorinstanz die bundesrechtliche Beweislastregel von Art. 8 ZGB nicht verletzt, sondern vielmehr auf korrekte Weise eine dem Parteiwillen entzogene rechtliche Einordnung des Rechtsgeschäfts vorgenommen.</w:t>
      </w:r>
    </w:p>
    <w:p>
      <w:r>
        <w:t>Entgegen der Ansicht des Beschwerdeführers lässt sich auch aus Art. 394 Abs. 2 OR nichts zu seinen Gunsten ableiten, da es im zu beurteilenden Fall zunächst um die Abgrenzung des Arbeitsvertrags vom Auftrag geht und nicht ein Vertrag über Arbeitsleistungen zur Debatte steht, der keiner besonderen Vertragsart des Obligationenrechts unterstellt ist.</w:t>
      </w:r>
    </w:p>
    <w:p>
      <w:r>
        <w:rPr>
          <w:b/>
        </w:rPr>
        <w:t>E. 3.2.2</w:t>
      </w:r>
    </w:p>
    <w:p>
      <w:r>
        <w:t>Nicht stichhaltig ist im Weiteren die Rüge des Beschwerdeführers, das Argument der wirtschaftlichen Abhängigkeit könne kein Kriterium für die Abgrenzung zwischen Auftrag und Arbeitsvertrag sein. Eine wirtschaftliche Abhängigkeit kann durchaus für einen Arbeitsvertrag sprechen, ist jedoch nicht zwingend für einen solchen. Es kommt dabei letztlich darauf an, ob durch die vertragliche Bindung die Dispositionsmöglichkeit über den Einsatz der eigenen Arbeitskraft verloren geht. Ein wesentliches Indiz für eine wirtschaftliche Abhängigkeit in diesem Sinne liegt vor, wenn eine Person ausschliesslich für einen einzigen Arbeitgeber tätig ist (Urteil 4C.276/2006 vom 25. Januar 2007 E. 4.6.1; vgl. auch ULLIN STREIFF/ADRIAN VON KAENEL, Arbeitsvertrag, 6. Aufl. 2006, N. 6 Art. 319 OR ). Dies traf vorliegend zu, war D.E.________ doch im Umfang eines vollen Arbeitspensums ausschliesslich für den Beschwerdeführer tätig. Die Vorinstanz durfte diesen Umstand ohne Verletzung von Bundesrecht als Indiz für einen Arbeitsvertrag in ihre Gesamtbetrachtung einbeziehen.</w:t>
      </w:r>
    </w:p>
    <w:p>
      <w:r>
        <w:rPr>
          <w:b/>
        </w:rPr>
        <w:t>E. 3.2.3</w:t>
      </w:r>
    </w:p>
    <w:p>
      <w:r>
        <w:t>Was der Beschwerdeführer gegen die Annahme eines Subordinationsverhältnisses durch die Vorinstanz anführt, erweist sich über weite Strecken als unzulässige Kritik an der vorinstanzlichen Beweiswürdigung und ist somit unbehelflich. Ins Leere stösst sein Einwand, die Einbindung in die Arbeitsorganisation sei kein Kriterium für die Abgrenzung zwischen Auftrag und Arbeitsvertrag. Entgegen der Auffassung des Beschwerdeführers ist es wesentlich für das Vorliegen eines Arbeitsverhältnisses, dass der Arbeitnehmer in eine fremde Arbeitsorganisation eingegliedert ist und damit von bestimmten Vorgesetzten Weisungen erhält (Urteil 4C.276/2006 vom 25. Januar 2007 E. 4.3.1; WOLFGANG PORTMANN/JEAN-FRITZ STÖCKLI, Schweizerisches Arbeitsrecht, 2. Aufl. 2007, Rz. 18). Der Beschwerdeführer übersieht zudem, dass dabei nicht vorausgesetzt wird, dass der Arbeitgeber dem Arbeitnehmer Fachanweisungen gibt (STREIFF/VON KAENEL, a.a.O., N. 6 zu Art. 319 OR ). Erfordert die Tätigkeit des Arbeitnehmers besondere Fachkenntnisse, ist es sehr wohl möglich, dass diese ausschliesslich beim Arbeitnehmer, nicht aber beim Arbeitgeber vorliegen.</w:t>
      </w:r>
    </w:p>
    <w:p>
      <w:r>
        <w:rPr>
          <w:b/>
        </w:rPr>
        <w:t>E. 3.2.4</w:t>
      </w:r>
    </w:p>
    <w:p>
      <w:r>
        <w:t>Zusammenfassend durfte die Vorinstanz das Rechtsverhältnis zwischen dem Beschwerdeführer und D.E.________ ohne Verletzung von Bundesrecht als Arbeitsvertrag im Sinne von Art. 319 ff. OR qualifizieren. Entsprechend verfängt der Einwand des Beschwerdeführers nicht, er habe das Vertragsverhältnis jederzeit nach Art. 404 OR kündigen können.</w:t>
      </w:r>
    </w:p>
    <w:p>
      <w:r>
        <w:rPr>
          <w:b/>
        </w:rPr>
        <w:t>E. 4</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