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4A_561/2019 vom 11. Dezember 2019</w:t>
      </w:r>
    </w:p>
    <w:p>
      <w:r>
        <w:t>Bundesgericht, 2019-12-11, DE</w:t>
      </w:r>
    </w:p>
    <w:p>
      <w:r>
        <w:rPr>
          <w:b/>
        </w:rPr>
        <w:t xml:space="preserve">Quelle: </w:t>
      </w:r>
      <w:r>
        <w:t>https://mcp.opencaselaw.ch/entscheid/bger_4A_561_2019</w:t>
      </w:r>
    </w:p>
    <w:p>
      <w:r>
        <w:t>FR: TF 4A_561/2019 du 11 décembre 2019</w:t>
      </w:r>
    </w:p>
    <w:p>
      <w:r>
        <w:t>IT: TF 4A_561/2019 del 11 dicembre 2019</w:t>
      </w:r>
    </w:p>
    <w:p>
      <w:pPr>
        <w:pStyle w:val="Heading2"/>
      </w:pPr>
      <w:r>
        <w:t>Erwägungen</w:t>
      </w:r>
    </w:p>
    <w:p>
      <w:r>
        <w:rPr>
          <w:b/>
        </w:rPr>
        <w:t>E. 1</w:t>
      </w:r>
    </w:p>
    <w:p>
      <w:r>
        <w:t>Mit Eingabe vom 16. Juni 2018 reichte A.________ (Beschwerdeführerin) beim Bezirksgericht Höfe eine Klage ein, mit der sie verlangte, die B.________ GmbH (Beschwerdegegnerin) sei zu verurteilen, ihr "den Schadenersatz im Betrag von Fr. 25'725.05" nebst Zins zu 5 % seit 17. Februar 2017 zu bezahlen. Mit Verfügung vom 13. Dezember 2018 trat der Einzelrichter am Bezirksgericht auf die Klage nicht ein.</w:t>
      </w:r>
    </w:p>
    <w:p>
      <w:r>
        <w:t>Die dagegen erhobene Berufung wies das Kantonsgericht Schwyz mit Urteil vom 1. Oktober 2019 ab.</w:t>
      </w:r>
    </w:p>
    <w:p>
      <w:r>
        <w:t>A.________ hat mit Eingabe vom 2. November 2019 (Postaufgabe am 8. November 2019) Beschwerde gegen dieses Urteil erhoben und mit Eingabe vom 26. November 2019 (Postaufgabe am 28. November 2019) sinngemäss um Gewährung der unentgeltlichen Rechtspflege ersucht. Es wurden keine Vernehmlassungen eingeholt.</w:t>
      </w:r>
    </w:p>
    <w:p>
      <w:r>
        <w:rPr>
          <w:b/>
        </w:rPr>
        <w:t>E. 2</w:t>
      </w:r>
    </w:p>
    <w:p>
      <w:r>
        <w:t>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3</w:t>
      </w:r>
    </w:p>
    <w:p>
      <w:r>
        <w:t>Die Beschwerdeführerin wirft der Vorinstanz (und dem Bezirksgericht) zahlreiche Rechtsverstösse vor. Sie legt aber nicht, jedenfalls nicht rechtsgenügend, dar, welche Rechte das Kantonsgericht inwiefern verletzt haben soll, wenn es zum Ergebnis gelangte, die Sache sei bereits rechtskräftig entschieden, und den Nichteintretensentscheid des Bezirksgerichts aus diesem Grund schützte. Vielmehr begnügt sie sich damit, die vorinstanzlichen Entscheide als "nichtig" sowie "unrichtig" zu bezeichnen und dem Bundesgericht unter Hinweis auf zahlreiche Beilagen frei ihre eigene Sicht des arbeitsrechtlichen Streits der Parteien zu schildern. Dabei weicht sie wiederholt von der Sachverhaltsfeststellung im angefochtenen Urteil ab, ohne - in einer den dargelegten Begründungsanforderungen genügenden Weise - aufzuzeigen, inwiefern diese offensichtlich unrichtig sein oder auf einer Rechtsverletzung im Sinne von Art. 95 BGG beruhen soll. Die Beschwerde enthält somit offensichtlich keine hinreichende Begründung, weshalb im vereinfachten Verfahren gemäss Art. 108 Abs. 1 lit. b BGG nicht auf sie einzutreten ist.</w:t>
      </w:r>
    </w:p>
    <w:p>
      <w:r>
        <w:rPr>
          <w:b/>
        </w:rPr>
        <w:t>E. 4</w:t>
      </w:r>
    </w:p>
    <w:p>
      <w:r>
        <w:t>Das Gesuch um Gewährung der unentgeltlichen Rechtspflege für das bundesgerichtliche Verfahren ist abzuweisen, weil die Beschwerde von vornherein aussichtslos war (siehe Art. 64 Abs. 1 BGG ). Die Gerichtskosten sind gemäss Art. 66 Abs. 1 BGG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