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4A_55/2020 vom 18. Februar 2020</w:t>
      </w:r>
    </w:p>
    <w:p>
      <w:r>
        <w:t>Bundesgericht, 2020-02-18, DE</w:t>
      </w:r>
    </w:p>
    <w:p>
      <w:r>
        <w:rPr>
          <w:b/>
        </w:rPr>
        <w:t xml:space="preserve">Quelle: </w:t>
      </w:r>
      <w:r>
        <w:t>https://mcp.opencaselaw.ch/entscheid/bger_4A_55_2020</w:t>
      </w:r>
    </w:p>
    <w:p>
      <w:r>
        <w:t>FR: TF 4A_55/2020 du 18 février 2020</w:t>
      </w:r>
    </w:p>
    <w:p>
      <w:r>
        <w:t>IT: TF 4A_55/2020 del 18 febbraio 2020</w:t>
      </w:r>
    </w:p>
    <w:p>
      <w:pPr>
        <w:pStyle w:val="Heading2"/>
      </w:pPr>
      <w:r>
        <w:t>Volltext</w:t>
      </w:r>
    </w:p>
    <w:p>
      <w:r>
        <w:t>Bundesgericht</w:t>
      </w:r>
    </w:p>
    <w:p>
      <w:r>
        <w:t>Tribunal fédéral</w:t>
      </w:r>
    </w:p>
    <w:p>
      <w:r>
        <w:t>Tribunale federale</w:t>
      </w:r>
    </w:p>
    <w:p>
      <w:r>
        <w:t>Tribunal federal</w:t>
      </w:r>
    </w:p>
    <w:p>
      <w:r>
        <w:t>4A_55/2020</w:t>
      </w:r>
    </w:p>
    <w:p>
      <w:r>
        <w:t>Urteil vom 18. Februar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1. B.________,</w:t>
      </w:r>
    </w:p>
    <w:p>
      <w:r>
        <w:t>2. C.________,</w:t>
      </w:r>
    </w:p>
    <w:p>
      <w:r>
        <w:t>beide vertreten durch Rechtsanwalt Lorenz Fellmann, Beschwerdegegner.</w:t>
      </w:r>
    </w:p>
    <w:p>
      <w:r>
        <w:t>Gegenstand</w:t>
      </w:r>
    </w:p>
    <w:p>
      <w:r>
        <w:t>Vollstreckung,</w:t>
      </w:r>
    </w:p>
    <w:p>
      <w:r>
        <w:t>Beschwerde gegen den Entscheid des Obergerichts des Kantons Bern, 2. Zivilkammer, vom 16. Dezember 2019 (ZK 19 634).</w:t>
      </w:r>
    </w:p>
    <w:p>
      <w:r>
        <w:t>In Erwägung,</w:t>
      </w:r>
    </w:p>
    <w:p>
      <w:r>
        <w:t>dass der Gerichtspräsident des Regionalgerichts Berner Jura-Seeland mit Entscheid vom 13. November 2019 die Beschwerdegegner im Rahmen der Vollstreckung eines Urteilsvorschlags der Schlichtungsbehörde Berner Jura-Seeland vom 7. Mai 2019 unter anderem ermächtigte, den Filter des Dampfabzugs, den Backofen, den Geschirrspüler und die Waschmaschine sowie die Dachrinnen in dem von ihnen gemieteten Haus an der Strasse X.________ in U.________ zu ersetzen;</w:t>
      </w:r>
    </w:p>
    <w:p>
      <w:r>
        <w:t>dass das Obergericht des Kantons Bern auf eine vom Beschwerdeführer gegen den regionalgerichtlichen Entscheid vom 13. November 2019 erhobene Beschwerde infolge verspäteter Einreichung des Rechtsmittels mit Urteil vom 16. Dezember 2019 nicht eintrat;</w:t>
      </w:r>
    </w:p>
    <w:p>
      <w:r>
        <w:t>dass der Beschwerdeführer dem Bundesgericht mit Eingabe vom 25. Januar 2020 erklärte, den Entscheid des Obergerichts des Kantons Bern vom 16. Dezember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der Beschwerdeführer nicht hinreichend mit den Erwägungen des angefochtenen Entscheids des Obergerichts des Kantons Bern vom 16. Dezember 2019 auseinandersetzt und aufzeigt, inwiefern die Vorinstanz mit ihrem Nichteintretensentscheid Bundesrecht verletzt hätte, sondern dem Bundesgericht in unzulässiger Weise seine Sicht der Dinge unterbreitet;</w:t>
      </w:r>
    </w:p>
    <w:p>
      <w:r>
        <w:t>dass die Eingabe des Beschwerdeführers vom 25. Januar 2020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die Beschwerdegegner keinen Anspruch auf eine Parteientschädigung haben, da ihnen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werden keine Parteientschädigungen zugesprochen.</w:t>
      </w:r>
    </w:p>
    <w:p>
      <w:r>
        <w:t>4.</w:t>
      </w:r>
    </w:p>
    <w:p>
      <w:r>
        <w:t>Dieses Urteil wird den Parteien und dem Obergericht des Kantons Bern, 2. Zivilkammer, schriftlich mitgeteilt.</w:t>
      </w:r>
    </w:p>
    <w:p>
      <w:r>
        <w:t>Lausanne, 18. Februar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