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55/2017 vom 16. Juni 2017</w:t>
      </w:r>
    </w:p>
    <w:p>
      <w:r>
        <w:t>Bundesgericht, 2017-06-16, FR</w:t>
      </w:r>
    </w:p>
    <w:p>
      <w:r>
        <w:rPr>
          <w:b/>
        </w:rPr>
        <w:t xml:space="preserve">Quelle: </w:t>
      </w:r>
      <w:r>
        <w:t>https://mcp.opencaselaw.ch/entscheid/bger_4A_55_2017</w:t>
      </w:r>
    </w:p>
    <w:p>
      <w:r>
        <w:t>FR: TF 4A 55/2017 du 16 juin 2017</w:t>
      </w:r>
    </w:p>
    <w:p>
      <w:r>
        <w:t>IT: TF 4A 55/2017 del 16 giugno 2017</w:t>
      </w:r>
    </w:p>
    <w:p>
      <w:pPr>
        <w:pStyle w:val="Heading2"/>
      </w:pPr>
      <w:r>
        <w:t>Regeste</w:t>
      </w:r>
    </w:p>
    <w:p>
      <w:r>
        <w:t>contrat de travail | Droit des contrats</w:t>
      </w:r>
    </w:p>
    <w:p>
      <w:pPr>
        <w:pStyle w:val="Heading2"/>
      </w:pPr>
      <w:r>
        <w:t>Erwägungen</w:t>
      </w:r>
    </w:p>
    <w:p>
      <w:r>
        <w:rPr>
          <w:b/>
        </w:rPr>
        <w:t>E. 1.1</w:t>
      </w:r>
    </w:p>
    <w:p>
      <w:r>
        <w:t>Interjeté par la demanderesse qui a totalement succombé dans son action en libération de dette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p. 116; 133 III 545 consid. 2.2).</w:t>
      </w:r>
    </w:p>
    <w:p>
      <w:r>
        <w:rPr>
          <w:b/>
        </w:rPr>
        <w:t>E. 2</w:t>
      </w:r>
    </w:p>
    <w:p>
      <w:r>
        <w:t>Le jugement de première instance a été rendu le 18 mars 2015, de sorte que les voies de droit de la deuxième instance étaient régies par le Code de procédure civile du 19 décembre 2008 (CPC; RS 272). En revanche, dès lors que la demande a été déposée en 2010, c'est l'ancien code de procédure civile vaudois du 14 décembre 1966 qui s'applique à la procédure de première instance ( art. 404 al. 1 CPC ).</w:t>
      </w:r>
    </w:p>
    <w:p>
      <w:r>
        <w:rPr>
          <w:b/>
        </w:rPr>
        <w:t>E. 3</w:t>
      </w:r>
    </w:p>
    <w:p>
      <w:r>
        <w:t>Dans son recours en matière civile, la recourante a réduit ses prétentions, puisqu'elle ne reprend plus ses conclusions en paiement de 64'226 fr. 90 en capital à titre d'enrichissement illégitime, voire de dommages-intérêts. Qu'il lui en soit donné acte.</w:t>
      </w:r>
    </w:p>
    <w:p>
      <w:r>
        <w:rPr>
          <w:b/>
        </w:rPr>
        <w:t>E. 4.1</w:t>
      </w:r>
    </w:p>
    <w:p>
      <w:r>
        <w:t>La recourante s'en prend au raisonnement de la cour cantonale, qui a retenu qu'un CEO (directeur opérationnel) ne revêt pas la qualité d'organe de la société anonyme. Elle fait valoir qu'un tel directeur est bien un organe formel, qui doit se voir appliquer notamment les art. 678, 717 et 754 CO et, par analogie, le régime du contrat avec soi-même en cas de conflit d'intérêts.</w:t>
      </w:r>
    </w:p>
    <w:p>
      <w:r>
        <w:rPr>
          <w:b/>
        </w:rPr>
        <w:t>E. 4.2</w:t>
      </w:r>
    </w:p>
    <w:p>
      <w:r>
        <w:t>Il est incontestable que les directeurs de la société anonyme qui dépendent directement du conseil d'administration, à l'instar du CEO, sont des personnes qui s'occupent de la gestion ( art. 754 al. 1 CO ). Ce point n'est toutefois pas déterminant. En effet, c'est par la figure juridique de la double représentation, respectivement du contrat avec soi-même, que la recourante entend déduire la nullité de l'" accord de séparation " du 3 septembre 2010. En vain. Le directeur d'une société anonyme se trouve lié avec celle-ci par un double rapport (obligationnel en vertu du droit du travail) et organique (en vertu du droit des sociétés), à telle enseigne que l'organe qui a une position d'employé doit respecter à la fois le devoir de fidélité du travailleur ( art. 321a CO ) et le devoir de fidélité d'une personne qui s'occupe de la gestion instauré par l' art. 717 CO ( ATF 140 III 409 consid. 3.1 p. 412; 130 III 213 consid. 2.1 p. 216 s., 128 III 129 consid. 1 p. 131 s.). Ainsi, l'employé qui a une position d'organe ne peut pas défendre ses intérêts d'employé à l'encontre de la société anonyme de la même manière que tout autre employé, parce que sa position, du point de vue du droit des sociétés, l'oblige à sauvegarder les intérêts de la société ( ATF 128 III 129 consid. 1a/aa p. 132). De cette double position, il peut résulter qu'un contrat conclu avec un dirigeant de la société peut être qualifié de contrat avec soi-même (s'il est contractant comme organe et employeur d'un côté, comme travailleur de l'autre), qui sera nul selon la nature de l'affaire (ROLF WATTER, in Basler Kommentar, Obligationenrecht II, 5e éd. 2016, n° 15 ad art. 726 CO ). Il n'y a cependant pas de contrat avec soi-même si la société anonyme qui conclut le contrat est représentée par un supérieur hiérarchique du directeur partie audit contrat (PETER/CAVADINI, in Commentaire romand, Code des obligations II, 2008, n° 12 ad art. 717 CO ; WATTER/ROTH PELLANDA, in Basler Kommentar, op. cit., n° 17 ad art. 717 CO ). C'est précisément le cas en l'espèce, dès l'instant où la recourante, lorsqu'elle a signé le contrat du 3 septembre 2010 sur la base duquel l'intimé déduit ses prétentions comme travailleur, était représentée en tant qu'employeuse par ses deux administrateurs K.________ et A.________.</w:t>
      </w:r>
    </w:p>
    <w:p>
      <w:r>
        <w:rPr>
          <w:b/>
        </w:rPr>
        <w:t>E. 5</w:t>
      </w:r>
    </w:p>
    <w:p>
      <w:r>
        <w:t>La recourante soutient ensuite que les deux administrateurs précités se trouvaient en conflit d'intérêts à l'égard de la société anonyme et que l'accord de séparation qu'ils ont conclu, à l'avantage exclusif de l'intimé, est invalide, car il porte un préjudice économique à ladite société. Aux yeux de la recourante, ces deux administrateurs n'ont pas agi dans l'intérêt social déjà avant la passation du contrat de séparation. Et de citer en vrac singulièrement une tentative d'émission d'un emprunt convertible, la commande à O.________ d'un rapport d'audit à charge du précédent management, la diffusion de communications discréditant le précédent management et le dépôt d'une plainte pénale contre un ancien membre du conseil d'administration. En particulier, alors que le conseil d'administration de la société était insuffisamment pourvu en membres avec deux seuls administrateurs, K.________ et A.________ auraient cherché à conserver le contrôle de la société en émettant un emprunt convertible et auraient repoussé à plusieurs reprises la tenue d'une assemblée générale extraordinaire sous de mauvais prétextes. Peu importerait qu'à la période critique, soit entre le 15 juin et le 6 septembre 2010, le cours de l'action X.________ était au plus haut, car l'intérêt social implique l'augmentation à long terme de la valeur de la société. De plus, l'accord de séparation était excessivement à l'avantage de l'intimé en le libérant avec effet immédiat de l'obligation de travailler, alors qu'il a retrouvé sans délai un emploi à plein temps auprès d'une société dont A.________ est actionnaire et administrateur. L'intimé ne pouvait ignorer l'existence d'un tel conflit d'intérêts, de sorte qu'il ne serait pas de bonne foi. La recourante infère de ces considérations que le contrat de séparation est invalide et que les prétentions que l'intimé fonde sur cet accord doivent être intégralement rejetées.</w:t>
      </w:r>
    </w:p>
    <w:p>
      <w:r>
        <w:rPr>
          <w:b/>
        </w:rPr>
        <w:t>E. 5.1</w:t>
      </w:r>
    </w:p>
    <w:p>
      <w:r>
        <w:t>Dans la mesure où la recourante entend déduire la nullité du contrat de la circonstance que le conseil d'administration n'était composé que de deux membres, il sied de relever que le Tribunal fédéral a déjà constaté dans plusieurs arrêts où elle était partie que la composition du conseil d'administration, non conforme aux statuts de la société, reste sans influence sur le pouvoir de représentation (Vertretungsmacht) que la société fait connaître à l'extérieur par le moyen du registre du commerce (arrêts 4A_459/2013 du 22 janvier 2014 consid. 3.1.4; 4A_617/2013 du 30 juin 2014 consid. 5.2; 4A_151/2014 du 14 octobre 2014 consid. 4.1.1; cf. aussi 4A_357/2007 du 8 avril 2008 consid. 4.2).</w:t>
      </w:r>
    </w:p>
    <w:p>
      <w:r>
        <w:rPr>
          <w:b/>
        </w:rPr>
        <w:t>E. 5.2</w:t>
      </w:r>
    </w:p>
    <w:p>
      <w:r>
        <w:t>Il convient maintenant de rechercher si les deux administrateurs K.________ et A.________ ont agi à l'encontre de l'intérêt de la société lorsqu'ils ont signé l'accord de séparation du 3 septembre 2010 et si ce supposé conflit d'intérêts était connu de l'intimé ou reconnaissable par lui.</w:t>
      </w:r>
    </w:p>
    <w:p>
      <w:r>
        <w:rPr>
          <w:b/>
        </w:rPr>
        <w:t>E. 5.2.1</w:t>
      </w:r>
    </w:p>
    <w:p>
      <w:r>
        <w:t>Selon l' art. 718a al. 1 CO , les personnes autorisées à représenter la société ont le droit d'accomplir au nom de celle-ci tous les actes que peut impliquer le but social. Cette disposition a avant tout pour but de protéger les tiers de bonne foi. Au nombre des actes que peut impliquer le but social, il faut non seulement englober ceux qui sont utiles à la société ou usuellement nécessaires à son activité, mais aussi ceux qui ont trait à des affaires inhabituelles qui rentrent toutefois dans le but social, c'est-à-dire qui n'en sont pas manifestement exclus. Les actes de représentation qui n'ont plus de lien avec le but social ne sauraient lier la société ( ATF 116 II 320 consid. 3a p. 323; arrêts déjà cités 4A_459/2013 du 22 janvier 2014 consid. 3.2.1; 4A_357/2007 du 8 avril 2008, ibidem). Lorsqu'il y a un conflit entre l'intérêt de la personne morale et celui de l'organe qui agit au nom de celle-ci, il faut partir du principe que, d'après la volonté présumée de la société, l'autorisation de représentation exclut implicitement les opérations qui révèlent un comportement du représentant contraire à ses devoirs ou aux intérêts de la société. Une limitation tacite de l'autorisation de représentation ne peut être opposée aux tiers de bonne foi. Le conflit d'intérêts ne peut limiter le pouvoir de représentation que si ladite restriction était reconnaissable pour les tiers ou si elle aurait au moins dû être reconnue par ces derniers en prêtant l'attention nécessaire ( ATF 126 III 361 consid. 3a p. 363; arrêts 4A_459/2013 du 22 janvier 2014 consid. 3.2.1; cf. aussi 4A_232/2008 du 27 mars 2009 consid. 4.1.1 et 4C.93/2007 du 13 août 2007 consid. 2.3.1 et leurs références). Si aucun conflit d'intérêts au sens susrappelé n'est reconnaissable, la partie contractante peut se fier au pouvoir de représentation indiqué au registre du commerce. L'attention que l'on est en droit d'exiger de la partie contractante pour détecter un éventuel conflit d'intérêts est fonction de la nature de l'acte juridique conclu (arrêts déjà cités 4A_459/2013 du 22 janvier 2014 consid. 3.2.1 et 4A_232/2008 du 27 mars 2009 consid. 4.1.2).</w:t>
      </w:r>
    </w:p>
    <w:p>
      <w:r>
        <w:rPr>
          <w:b/>
        </w:rPr>
        <w:t>E. 5.2.2</w:t>
      </w:r>
    </w:p>
    <w:p>
      <w:r>
        <w:t>Ce qui est déterminant, comme le Tribunal fédéral l'a déjà mentionné dans l'arrêt précité 4A_459/2013 concernant la recourante, c'est qu'un conflit d'intérêts porte précisément sur l'acte juridique dont l'invalidité est invoquée. Dans ladite procédure, il était question d'une reconnaissance de dette émise le 3 septembre 2010 pour des honoraires d'avocat. La juridiction fédérale n'a pas examiné si les deux administrateurs K.________ et A.________ agissaient à l'encontre des intérêts de la société depuis le 9 juin 2010 (date de l'assemblée générale où trois autres administrateurs n'avaient pas été réélus), mais si la signature de la reconnaissance de dette du 3 septembre 2010 était à ce moment-là dans l'intérêt de la société, ce qu'elle a admis à défaut de preuves contraires. Il convient donc de vérifier si l'intimé pouvait reconnaître l'existence d'un conflit d'intérêts quand l'accord de séparation du 3 septembre 2010 a été conclu.</w:t>
      </w:r>
    </w:p>
    <w:p>
      <w:r>
        <w:rPr>
          <w:b/>
        </w:rPr>
        <w:t>E. 5.2.3</w:t>
      </w:r>
    </w:p>
    <w:p>
      <w:r>
        <w:t>La société recourante voit un abus du pouvoir de représentation dans le sens où, par une entente secrète, les deux administrateurs K.________ et A.________ auraient agi de concert avec l'intimé pour lui porter préjudice (cf. à propos de la collusion, ROGER ZÄCH, Berner Kommentar, 2e éd. 2014, n° 14 ad art. 38 CO ; WATTER, in Basler Kommentar, Obligationenrecht I, 6e éd. 2015, n° 2 ad art. 38 CO ; LE MÊME, Die Verpflichtung der AG durch rechtsgeschäftliches Handeln ihrer Stellvertreter, Prokuristen und Organe speziell bei sog. "Missbrauch der Vertretungsmacht", thèse Zurich 1985, ch. 58), de sorte que le conflit d'intérêts serait évident. Se pose ainsi la question de savoir si le contrat de séparation était conforme aux usages du marché et n'avantageait pas unilatéralement l'intimé, comme le prétend la recourante.</w:t>
      </w:r>
    </w:p>
    <w:p>
      <w:r>
        <w:rPr>
          <w:b/>
        </w:rPr>
        <w:t>E. 5.2.3.1</w:t>
      </w:r>
    </w:p>
    <w:p>
      <w:r>
        <w:t>La recourante fait d'abord valoir que l'on ne voit pas l'intérêt de la société à ce que l'intimé ait été libéré de l'obligation de travailler par l'accord de séparation. Elle invoque que les rapports de travail n'ont duré que trois mois environ, que le préavis de résiliation de six mois était particulièrement long, que le salaire était élevé (24'000 fr. par mois, plus divers frais, participations et bonus), que l'intimé occupait un poste clé, essentiel pour la bonne continuité des projets en cours, et qu'il ne devait aucune contre-prestation pour avoir été libéré du devoir de travailler. Dans certains domaines d'activité, il est usuel que les cadres, qui disposent de secrets d'affaires ou qui sont en contact avec la clientèle, soient libérés de l'obligation de travailler (WYLER/HEINZER, Droit du travail, 3e éd. 2014, p. 362). Il résulte des constatations de la cour cantonale que l'intimé, en sa qualité de CEO de la société, a eu des contacts avec d'importants clients étrangers. Il n'y a ainsi rien d'insolite à ce qu'il ait été libéré de son obligation de travailler pendant le délai de congé. Au cours de cette période où l'intimé n'était pas tenu de travailler, l'employeur lui devait toutes les prestations contractuelles, peu importe leur importance, et cela sans qu'il ait à fournir aucune contre-prestation. La recourante ne prétend pas que le contrat de travail du 5 juillet 2010 et l'avenant du 23 août 2010 aient été entachés de nullité. On ne discerne au demeurant pas les raisons qui rendraient nulle la conclusion de ces accords. Enfin, il a été constaté que le contrat de travail d'un précédent directeur de la recourante prévoyait aussi un délai de résiliation de six mois.</w:t>
      </w:r>
    </w:p>
    <w:p>
      <w:r>
        <w:rPr>
          <w:b/>
        </w:rPr>
        <w:t>E. 5.2.3.2</w:t>
      </w:r>
    </w:p>
    <w:p>
      <w:r>
        <w:t>Pour étayer le grief que le contrat de séparation est excessivement favorable à l'intimé, la recourante allègue qu'en plus d'avoir reçu toutes les prestations contractuelles, ce dernier a repris, immédiatement après avoir été libéré de l'obligation de travailler, sa précédente activité pour L.________, rémunérée à plein temps, société dont A.________ est actionnaire et administrateur. Ainsi, les administrateurs K.________ et A.________ auraient accordé à l'intimé pendant le délai de résiliation de six mois un " double salaire ". Offrir un tel " cadeau " à l'intimé démontrerait clairement que l'accord de séparation porte atteinte aux intérêts de la recourante. Elle se prévaut dans ce cadre d'un établissement incomplet, respectivement arbitraire, des faits par l'autorité cantonale. Elle affirme, en se référant aux allégués 10, 11 et 12 de sa demande et à la pièce 103 produite à leur appui, que l'intimé a travaillé contre rémunération auprès de L.________ avant, pendant et après la période litigieuse. Elle cite à ce propos le premier paragraphe du ch. 1 let. b du jugement de première instance, qui a la teneur suivante: "Le 29 avril 2009, le défendeur Z.________ a été inscrit au registre du commerce du canton de Genève comme directeur avec signature individuelle de (L.________) et il a exercé cette fonction jusqu'au 28 mars 2013, avec pouvoir de signature collective à deux dès le 26 mars 2012. Il a perçu un salaire pour cette activité". La recourante soutient que la cour cantonale n'a constaté ni la période exacte de la fonction de l'intimé auprès de L.________, ni le fait qu'il a été rémunéré. Il est vrai que le travailleur doit se laisser imputer le salaire qu'il a pu obtenir auprès d'un autre employeur alors qu'il a été libéré de l'obligation de travailler ( ATF 128 III 212 consid. 3b/cc p. 220, 271 consid. 4a/bb p. 281). Cela signifie que l'accord sur l'octroi au travailleur d'indemnités prévues par un autre contrat pendant la période où il est libéré de l'obligation de travailler constituerait une faveur injustifiée par rapport aux conditions du marché du point de vue de l'employeur, laquelle serait reconnaissable pour le travailleur. Mais le grief ne peut prospérer pour des raisons procédurales. L'appel peut être formé pour violation du droit ( art. 310 let. a CPC )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(ATF142 III 413 consid. 2.2.4 p. 416 s.; 138 III 374 consid. 4.3.1 p. 375 avec les références). Au considérant 5.4 de l'arrêt déféré, la cour cantonale a rappelé les motifs développés par les premiers juges pour admettre la validité de l'accord de séparation du 3 septembre 2010. Elle a ensuite constaté que la recourante n'a pas critiqué cette appréciation. Cette constatation relative aux faits procéduraux lie en principe le Tribunal fédéral. La recourante ne taxe pas d'arbitraire cette constatation de la cour cantonale et n'expose singulièrement pas qu'elle a invoqué dans la procédure d'appel concrètement, en se référant au dossier de la cause, des griefs à propos de doubles rémunérations du travailleur pendant la période où il a été libéré de l'obligation de travailler. Cette question ne peut donc être examinée. Il en va de même pour l'objection de la recourante selon laquelle, avec l'accord de séparation du 3 septembre 2010, non seulement a été garanti le salaire fixé par le contrat de travail (plus divers frais et bonus), mais en plus un intérêt moratoire exorbitant de 10% l'an pour le cas où le paiement n'interviendrait pas au terme prévu (ch. 5 dudit accord), outre l'engagement de dédommager l'intimé dans le cas d'un procès ouvert par la société à son encontre (ch. 9 dudit accord). Là encore, la recourante ne dit pas qu'elle a invoqué en appel, avec rapport à des pièces du dossier, l'invalidité du contrat de séparation en ce qui concerne les clauses contractuelles précitées.</w:t>
      </w:r>
    </w:p>
    <w:p>
      <w:r>
        <w:rPr>
          <w:b/>
        </w:rPr>
        <w:t>E. 6</w:t>
      </w:r>
    </w:p>
    <w:p>
      <w:r>
        <w:t>Il suit de là que le recours doit être rejeté dans la mesure de sa recevabilité. La recourante, qui succombe, paiera les frais de justice et versera à l'intimé une indemnité à titre de dépens (art. 66 al. 1, 68 al. 1 et 2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