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4A_55/2013 vom 8. Januar 2014</w:t>
      </w:r>
    </w:p>
    <w:p>
      <w:r>
        <w:t>Bundesgericht, 2014-01-08, IT</w:t>
      </w:r>
    </w:p>
    <w:p>
      <w:r>
        <w:rPr>
          <w:b/>
        </w:rPr>
        <w:t xml:space="preserve">Quelle: </w:t>
      </w:r>
      <w:r>
        <w:t>https://mcp.opencaselaw.ch/entscheid/bger_4A_55_2013</w:t>
      </w:r>
    </w:p>
    <w:p>
      <w:r>
        <w:t>FR: TF 4A_55/2013 du 8 janvier 2014</w:t>
      </w:r>
    </w:p>
    <w:p>
      <w:r>
        <w:t>IT: TF 4A_55/2013 del 8 gennaio 2014</w:t>
      </w:r>
    </w:p>
    <w:p>
      <w:pPr>
        <w:pStyle w:val="Heading2"/>
      </w:pPr>
      <w:r>
        <w:t>Erwägungen</w:t>
      </w:r>
    </w:p>
    <w:p>
      <w:r>
        <w:rPr>
          <w:b/>
        </w:rPr>
        <w:t>E. 1</w:t>
      </w:r>
    </w:p>
    <w:p>
      <w:r>
        <w:t>La sentenza impugnata, che respinge un'istanza di chiamata in causa, è una decisione parziale ( DTF 134 III 379 consid. 1.1). Essa è stata pronunciata su ricorso dall'autorità ticinese di ultima istanza ( art. 75 LTF ) in una causa civile di carattere pecuniario il cui valore di lite supera manifestamente fr. 30'000.-- (art. 72 cpv. 1 e 74 cpv. 1 lett. b LTF). Il tempestivo (art. 46 cpv. 1 lett. c combinato con l' art. 100 cpv. 1 LTF ) ricorso in materia civile si rivela quindi in linea di principio ammissibile.</w:t>
      </w:r>
    </w:p>
    <w:p>
      <w:r>
        <w:rPr>
          <w:b/>
        </w:rPr>
        <w:t>E. 2</w:t>
      </w:r>
    </w:p>
    <w:p>
      <w:r>
        <w:t>Giusta l' art. 105 cpv. 1 LTF il Tribunale federale fonda la sua sentenza sui fatti accertati nella decisione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136 II 101 consid. 3; 135 I 313 consid. 1.3; 133 IV 286 consid. 6.2). Possono essere addotti fatti nuovi e nuovi mezzi di prova soltanto se ne dà motivo la decisione dell'autorità inferiore ( art. 99 cpv. 1 LTF ).</w:t>
      </w:r>
    </w:p>
    <w:p>
      <w:r>
        <w:rPr>
          <w:b/>
        </w:rPr>
        <w:t>E. 3</w:t>
      </w:r>
    </w:p>
    <w:p>
      <w:r>
        <w:t>Con un'azione di chiamata in causa ai sensi degli art. 81 e 82 CPC le pretese di diverse parti possono essere giudicate in un unico processo, anziché in singoli procedimenti consecutivi e la procedura viene estesa in modo tale che possa essere decisa sia la pretesa avanzata contro il convenuto del processo principale, sia quella che la parte soccombente fa valere contro un terzo ( DTF 139 III 67 consid. 2 secondo cpv., con riferimenti). Secondo il Messaggio del Consiglio federale (Messaggio concernente il Codice di diritto processuale svizzero del 28 giugno 2006, FF 2006 pag. 6655 ad art. 79 e 80) un tale procedimento unico presenta numerosi vantaggi: la decisione emanata dal giudice adito con il processo principale evita il pericolo di sentenze contraddittorie che potrebbero scaturire da due procedimenti consecutivi e risparmia alle parti gli inconvenienti legati a un cambiamento di foro. Vengono inoltre favorite sinergie processuali nel senso che la conoscenza degli atti da parte del giudice può essere utilizzata sia per l'azione principale che per l'azione di chiamata in causa ed offre vantaggi anche con riferimento all'assunzione delle prove, che può essere riunita per i due processi. L'azione di chiamata in causa non è tuttavia completamente scevra di problemi: da un lato essa può privare il terzo del suo foro naturale e dall'altro rallenta e complica il processo principale (v. oltre al Messaggio, loc. cit., anche DTF 139 III 67 consid. 2.2).</w:t>
      </w:r>
    </w:p>
    <w:p>
      <w:r>
        <w:t>L'ammissibilità di un'azione di chiamata in causa richiede, oltre al soddisfacimento dei presupposti generali previsti (per tutte le azioni) dall' art. 59 CPC , anche il realizzarsi delle condizioni esposte negli art. 81 e 82 CPC ( DTF 139 III 67 consid. 2.4). Dall' art. 81 cpv. 1 CPC scaturisce che le pretese fatte valere con l'azione di chiamata in causa devono essere materialmente connesse con la pretesa oggetto dell'azione principale. Ciò risulta dalla formulazione del testo legale in cui è scritto che la parte può far valere " le pretese che in caso di soccombenza ritiene di avere contro il terzo chiamato in causa ". Si tratta segnatamente di pretese di regresso e di garanzia. Se viene fatta valere una tale pretesa la connessione materiale con la pretesa principale è data.</w:t>
      </w:r>
    </w:p>
    <w:p>
      <w:r>
        <w:t>Per permettere al giudice di verificare l'esistenza di tale presupposto, l'attore dell'azione di chiamata in causa deve indicare e motivare succintamente le conclusioni che si propone di opporre al terzo denunciato (art. 82 cpv. 1 seconda frase CPC). Dalla motivazione dell'istanza deve risultare che la pretesa avanzata dipende dall'esistenza della pretesa principale. La procedura di ammissione non è una procedura di esame preliminare, ragione per cui non occorre presentare in tale stadio una petizione circostanziata. I presupposti della pretesa fatta valere con l'azione di chiamata in causa non devono essere resi verosimili e non viene nemmeno esaminato se, nel caso in cui l'attore dell'azione di chiamata in causa dovesse soccombere nella procedura principale, la pretesa presentata da quest'ultimo sia materialmente fondata. Per riconoscere una connessione materiale è sufficiente che, secondo la descrizione della parte che chiama in causa, la pretesa dipenda dall'esito della procedura principale e venga in tal modo mostrato un potenziale interesse al regresso ( DTF 139 III 69 consid. 2.4.3). L' art. 82 cpv. 2 CPC prevede che il giudice dà alla controparte e al terzo denunciato l'opportunità di presentare le loro osservazioni.</w:t>
      </w:r>
    </w:p>
    <w:p>
      <w:r>
        <w:rPr>
          <w:b/>
        </w:rPr>
        <w:t>E. 3.1</w:t>
      </w:r>
    </w:p>
    <w:p>
      <w:r>
        <w:t>La Corte cantonale non ha ritenuto l'istanza di chiamata in causa sufficientemente motivata. Essa ha indicato che il qui ricorrente, ritenendo di avere un diritto di garanzia o di regresso, si è limitato a sostenere che i presupposti sono dati " senza motivare né precisare le proprie pretese " e gli ha rimproverato di non aver citato né prodotto alcun documento a fondamento della sua tesi. I Giudici cantonali hanno aggiunto che i non meglio specificati contratti con i chiamati in causa a cui il qui ricorrente ha fatto riferimento non sono stati sottoscritti da lui, ma dalla J.________ AG o da altre società e che nemmeno l'asserita rappresentanza indiretta da parte di questa è stata resa verosimile con i documenti prodotti.</w:t>
      </w:r>
    </w:p>
    <w:p>
      <w:r>
        <w:rPr>
          <w:b/>
        </w:rPr>
        <w:t>E. 3.2</w:t>
      </w:r>
    </w:p>
    <w:p>
      <w:r>
        <w:t>Il ricorrente contesta di non aver sufficientemente motivato la sua istanza e afferma di aver indicato, nella denegata ipotesi in cui dovesse soccombere nel processo principale, che la responsabilità per i difetti andrebbe " attribuita a tutti coloro che hanno effettivamente partecipato alla realizzazione delle opere asseritamente difettose " e quindi, oltre ai singoli artigiani, anche all'architetto C.________ che ha curato la direzione dei lavori. A quest'ultimo rimprovera " un manifesto errore di calcolazione del preventivo di costo dell'opera ", che avrebbe provocato " correttivi sottaciuti ai venditori", nonché una "i llegittima e gravemente negligente subdelegazione dell'esecuzione di determinate obbligazioni contrattuali a terze persone " e " un'insufficiente direzione dei lavori ". Afferma inoltre di aver reso verosimile che i contratti su cui fonda le sue pretese sarebbero stati sottoscritti dalla J.________ AG in qualità di rappresentante dei proprietari che hanno venduto le predette opere.</w:t>
      </w:r>
    </w:p>
    <w:p>
      <w:r>
        <w:rPr>
          <w:b/>
        </w:rPr>
        <w:t>E. 3.3</w:t>
      </w:r>
    </w:p>
    <w:p>
      <w:r>
        <w:t>Nella fattispecie giova innanzi tutto osservare che, con riferimento all'opponente J.________ AG, il ricorrente si diffonde - prevalendosi pure inammissibilmente di fatti non allegati nell'istanza di chiamata in causa, quali gli asseriti ruoli di coordinatrice ed amministratrice - sulla tesi che essa avrebbe funto da sua rappresentante. Pur sostenendo che tale società aveva svolto " un ruolo importante dal profilo contrattualistico ", non accenna ad alcuna pretesa, materialmente connessa con quella fatta valere contro di lui nell'azione principale, che egli ritiene di vantare nei confronti di tale opponente.</w:t>
      </w:r>
    </w:p>
    <w:p>
      <w:r>
        <w:t>Il ricorrente non specifica neppure quale siano le " opere asseritamente difettose " oggetto del processo principale ed è del tutto silente sulla natura di tali difetti. In questo modo non spiega nemmeno il loro legame con i rimproveri mossi all'opponente C.________. Infine, contrariamente a quanto sostiene nel gravame in esame, il ricorrente non ha esposto nella sua istanza gli "specifici inadempimenti contrattuali " che imputa ai rimanenti chiamati in causa, ma si è limitato a sottintendere che questi fossero degli artigiani e a genericamente sostenere che essi avrebbero commesso delle "ripetute e gravi violazioni delle più elementari regole dell'arte edilizia ". Così facendo egli nemmeno abbozza le ragioni per cui ritiene, qualora dovesse soccombere nell'azione principale, di avere una pretesa proprio contro tali persone di cui non indica il ruolo espletato nell'ambito della realizzazione delle cosiddette " opere asseritamente difettose ".</w:t>
      </w:r>
    </w:p>
    <w:p>
      <w:r>
        <w:t>In queste circostanze la Corte cantonale poteva a giusta ragione ritenere l'istanza di chiamata in causa insufficientemente motivata e per tale motivo non ammettere l'azione di chiamata in causa.</w:t>
      </w:r>
    </w:p>
    <w:p>
      <w:r>
        <w:rPr>
          <w:b/>
        </w:rPr>
        <w:t>E. 4</w:t>
      </w:r>
    </w:p>
    <w:p>
      <w:r>
        <w:t>Da quanto precede discende che il ricorso si rivela infondato e come tale va respinto. Le spese e le ripetibili seguono la soccombenza (art. 66 cpv. 1 e 68 cpv. 1 LTF). Con riferimento alle ripetibili assegnate agli opponenti D.________ SA e C.________ occorre osservare che essi hanno introdotto la loro riposta congiuntamente in un solo allegato, ragione per cui si giustifica assegnare loro unicamente la metà delle ripetibili attribuite agli altri opponenti vincenti. Non occorre invece assegnare un'indennità agli opponenti B3.________ e H.________ Sagl che, non essendosi determinati sul ricorso, non sono incorsi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