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558/2021 vom 28. Februar 2022</w:t>
      </w:r>
    </w:p>
    <w:p>
      <w:r>
        <w:t>Bundesgericht, 2022-02-28, FR</w:t>
      </w:r>
    </w:p>
    <w:p>
      <w:r>
        <w:rPr>
          <w:b/>
        </w:rPr>
        <w:t xml:space="preserve">Quelle: </w:t>
      </w:r>
      <w:r>
        <w:t>https://mcp.opencaselaw.ch/entscheid/bger_4A_558_2021</w:t>
      </w:r>
    </w:p>
    <w:p>
      <w:r>
        <w:t>FR: TF 4A 558/2021 du 28 février 2022</w:t>
      </w:r>
    </w:p>
    <w:p>
      <w:r>
        <w:t>IT: TF 4A 558/2021 del 28 febbraio 2022</w:t>
      </w:r>
    </w:p>
    <w:p>
      <w:pPr>
        <w:pStyle w:val="Heading2"/>
      </w:pPr>
      <w:r>
        <w:t>Regeste</w:t>
      </w:r>
    </w:p>
    <w:p>
      <w:r>
        <w:t>droit des sociétés; requête en convocation d'une assemblée générale; qualtité d'actionnaire, | Droit des sociétés</w:t>
      </w:r>
    </w:p>
    <w:p>
      <w:pPr>
        <w:pStyle w:val="Heading2"/>
      </w:pPr>
      <w:r>
        <w:t>Erwägungen</w:t>
      </w:r>
    </w:p>
    <w:p>
      <w:r>
        <w:rPr>
          <w:b/>
        </w:rPr>
        <w:t>E. 1</w:t>
      </w:r>
    </w:p>
    <w:p>
      <w:r>
        <w:t>Interjeté en temps utile (art. 45 al. 1 et 100 al. 1 LTF) par la partie qui a succombé dans ses conclusions ( art. 76 al. 1 LTF ), le recours est dirigé contre un arrêt final ( art. 90 LTF ) rendu sur appel par un tribunal cantonal supérieur ( art. 75 LTF ) dans une affaire civile de droit des sociétés ( art. 72 al. 1 LTF ), dont la valeur litigieuse atteint le seuil de 30'000 fr. requis en la matière ( art. 74 al. 1 let. b LTF ). Le recours en matière civile est recevable au regard de ces dispositions.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la recourante, invoquant les art. 6 CEDH et 29 al. 2 Cst., se plaint d'une violation de son droit à la réplique à deux égards.</w:t>
      </w:r>
    </w:p>
    <w:p>
      <w:r>
        <w:rPr>
          <w:b/>
        </w:rPr>
        <w:t>E. 3.1</w:t>
      </w:r>
    </w:p>
    <w:p>
      <w:r>
        <w:t>Le droit à la réplique est garanti par l' art. 29 al. 2 Cst. et l' art. 6 par. 1 CEDH ( ATF 138 I 154 consid. 2.3). Le droit d'être entendu, ancré à l' art. 29 al. 2 Cst. ,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137 I 195 consid. 2.3.1).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4A_216/2021 du 2 novembre 2021 consid. 4.1 et les arrêts cités).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 ATF 142 II 218 consid. 2.8.1 et les arrêts cités).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w:t>
      </w:r>
    </w:p>
    <w:p>
      <w:r>
        <w:rPr>
          <w:b/>
        </w:rPr>
        <w:t>E. 3.2.1</w:t>
      </w:r>
    </w:p>
    <w:p>
      <w:r>
        <w:t>En l'espèce, dans un premier temps, la recourante soutient que le courrier du 25 février 2021 adressé par l'intimée au Tribunal de première instance ne lui a pas été transmis par le premier juge et ne figurait pas dans le jugement de première instance. Elle n'a découvert son existence qu'à la lecture de l'arrêt de la cour cantonale et n'a donc pas pu se déterminer à son égard. Toutefois, par ce courrier, l'intimée se contentait de demander au tribunal s'il avait gardé la cause à juger ou s'il entendait " prononcer une ordonnance visant, par exemple, à l'audition des parties ". Ainsi, ce courrier se limitait à une question et ne comportait aucune prise de position quelconque. Le tribunal n'y a même pas donné suite. Dans ces conditions, on ne saurait retenir une violation du droit à la réplique propre à entraîner l'annulation d'une décision, contrairement à ce qu'invoque la recourante.</w:t>
      </w:r>
    </w:p>
    <w:p>
      <w:r>
        <w:rPr>
          <w:b/>
        </w:rPr>
        <w:t>E. 3.2.2</w:t>
      </w:r>
    </w:p>
    <w:p>
      <w:r>
        <w:t>Dans un second temps, la recourante s'en prend au raisonnement suivant des juges cantonaux: ils ont admis que le Tribunal de première instance avait retenu dans son état de fait un fait survenu après qu'il ait gardé la cause à juger, à savoir l'arrêt du 23 décembre 2020 de la cour cantonale, sans en informer les parties; les juges cantonaux ont néanmoins considéré que le tribunal avait retenu " qu'il ressortait des pièces versées au dossier et notamment du formulaire 106 signé par les administrateurs de X.________ SA et destiné à l'administration fiscale " que D.________ Sàrl était actionnaire à 60 % de X.________ SA. Les juges cantonaux ont ainsi retenu que le tribunal n'avait pas fondé son raisonnement sur le seul prononcé de l'arrêt précité, de sorte que les éventuelles observations de X.________ SA sur cet arrêt n'auraient pas eu d'influence déterminante sur le raisonnement du tribunal. X.________ SA avait en tout état eu l'occasion de se déterminer sur celui-ci en instance d'appel, étant rappelé que la cour cantonale disposait d'un plein pouvoir d'examen. La recourante soutient que les juges cantonaux ne pouvaient pas décider a posteriori de l'influence, sur le raisonnement du premier juge, que des éventuelles déterminations auraient pu avoir. Elle ajoute que le tribunal s'est bel et bien fondé sur l'arrêt précité, ce qui lui a vraisemblablement permis de passer sous silence certaines problématiques. Par son argumentation, se fondant principalement sur sa propre appréciation, la recourante ne parvient pas à démontrer une violation de son droit d'être entendue justifiant l'annulation de la décision attaquée. Il est possible de prendre en compte l'influence d'une violation du droit d'être entendu sur la procédure afin de déterminer si la décision attaquée doit ou non être annulée (cf. consid. 3.1 supra ). Quoi qu'il en soit, les juges cantonaux ont considéré à juste titre qu'une telle violation avait pu être réparée dans le cadre de l'appel.</w:t>
      </w:r>
    </w:p>
    <w:p>
      <w:r>
        <w:rPr>
          <w:b/>
        </w:rPr>
        <w:t>E. 4</w:t>
      </w:r>
    </w:p>
    <w:p>
      <w:r>
        <w:t>Ensuite, la recourante fait valoir un déni de justice formel et une violation de son droit d'être entendue. Elle reproche à la cour cantonale de ne pas s'être prononcée sur la question de savoir s'il était nécessaire que l'intimée agisse par un représentant commun, en raison de la liquidation de la société simple existant entre A.________, B.________ et C.________, pour requérir la convocation d'une assemblée générale. La recourante soutient qu'elle avait invoqué l'irrecevabilité de la requête en convocation de l'assemblée générale au motif que les 60 % d'actions dont se prévalait - à tort - l'intimée étaient entrés dans une masse en liquidation. Ainsi, l'intimée n'était pas légitimée à former une telle requête en l'absence d'un représentant commun.</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chefs de conclusions de la demande, alors qu'elle devrait le faire (cf. ATF 142 II 154 consid. 4.2; arrêt 4A_198/2020 du 1er décembre 2020 consid. 4.1).</w:t>
      </w:r>
    </w:p>
    <w:p>
      <w:r>
        <w:rPr>
          <w:b/>
        </w:rPr>
        <w:t>E. 4.2</w:t>
      </w:r>
    </w:p>
    <w:p>
      <w:r>
        <w:t>En l'espèce, les juges cantonaux ont considéré que l'intimée avait rendu vraisemblable sa titularité de 60 % des actions de X.________ SA. Ils se sont fondés sur deux pièces. Ils ont ensuite relevé que la question de savoir s'il était nécessaire que l'intimée agisse par un représentant commun pour requérir la convocation d'une assemblée générale en raison de la prétendue liquidation de la société simple existant entre A.________, B.________ et C.________ pouvait rester indécise. Pour les juges cantonaux, X.________ SA, qui se basait essentiellement sur le jugement du tribunal du 27 août 2020, lequel avait été annulé par arrêt du 23 décembre 2020 de la cour cantonale, n'avait pas rendu suffisamment vraisemblable une telle nécessité.</w:t>
      </w:r>
    </w:p>
    <w:p>
      <w:r>
        <w:rPr>
          <w:b/>
        </w:rPr>
        <w:t>E. 4.3</w:t>
      </w:r>
    </w:p>
    <w:p>
      <w:r>
        <w:t>Force est de constater que la cour cantonale a expliqué à satisfaction la raison pour laquelle elle n'a pas tranché la question précitée. En réalité, la recourante se prévaut surtout d'un prétendu " vice formel grave pouvant entraîner la nullité des décisions prises lorsqu'est litigieuse la détermination des droits de participation et de vote attachés aux actions dont plusieurs personnes [seraient] titulaires et qui auraient dû être représentées par un représentant commun en vertu de l' art. 690 al. 1 CO ". Cependant, dans une procédure tendant à une convocation d'une assemblée générale, telle qu'en l'espèce, le juge n'a pas à examiner la validité des décisions que l'assemblée générale sera amenée à prendre à la suite de la convocation (cf. consid. 5.1 infra ). Le grief de la recourante doit ainsi être rejeté.</w:t>
      </w:r>
    </w:p>
    <w:p>
      <w:r>
        <w:rPr>
          <w:b/>
        </w:rPr>
        <w:t>E. 5</w:t>
      </w:r>
    </w:p>
    <w:p>
      <w:r>
        <w:t>La recourante dénonce encore une appréciation arbitraire des preuves et une violation de l' art. 699 CO , dans la mesure où la cour cantonale a retenu que l'intimée avait rendu sa qualité d'actionnaire vraisemblable.</w:t>
      </w:r>
    </w:p>
    <w:p>
      <w:r>
        <w:rPr>
          <w:b/>
        </w:rPr>
        <w:t>E. 5.1</w:t>
      </w:r>
    </w:p>
    <w:p>
      <w:r>
        <w:t>Selon l' art. 699 al. 3 CO , un ou plusieurs actionnaires représentant ensemble 10 % au moins du capital-actions peuvent requérir la convocation de l'assemblée générale; des actionnaires qui représentent des actions totalisant une valeur nominale de 1 million de francs ou 10 % au moins du capital-actions ( ATF 142 III 16 consid. 2) peuvent requérir l'inscription d'un objet à l'ordre du jour; la convocation et l'inscription d'un objet à l'ordre du jour doivent être requises par écrit en indiquant les objets de discussion et les propositions. Conformément à l' art. 699 al. 4 CO , si le conseil d'administration ne donne pas suite à cette requête dans un délai convenable, la convocation est ordonnée par le juge, à la demande des requérants. L'action prévue à l' art. 699 al. 4 CO fournit à l'actionnaire requérant, qui pâtit du comportement (passif) de l'administrateur, un instrument efficace pour défendre ses intérêts. Le juge saisi sur la base de cet article ne soumet la requête qu'à un examen formel; sa décision ne reconnaît que la simple vraisemblance ( Glaubhaftmachen ) des conditions formelles de l' art. 699 al. 3 CO . Ainsi, dans cette procédure, le requérant peut se limiter à rendre simplement vraisemblable sa qualité d'actionnaire, le fait qu'il détient au moins le 10 % du capital-actions et qu'il a déjà sollicité sans succès une telle convocation auprès du conseil d'administration ( ATF 142 III 16 consid. 3.1; arrêts 4A_508/2020 du 25 mars 2021 consid. 3.1 et 3.2; 4A_184/2019 du 15 juillet 2019 consid. 2.1; 4A_507/2014 du 15 avril 2015 consid. 5.6 et 5.6.2). Le juge n'a, en particulier, pas à se prononcer sur la validité des décisions que l'assemblée générale sera amenée à prendre à la suite de la convocation et inscription à l'ordre du jour; cette question ne doit être examinée que dans le cadre d'une éventuelle action en annulation ou en nullité des décisions prises par l'assemblée générale selon les art. 706 ss CO ( ATF 142 III 16 consid. 3.1; arrêts précités 4A_508/2020 consid. 3.1 et 4A_184/2019 consid. 2.1).</w:t>
      </w:r>
    </w:p>
    <w:p>
      <w:r>
        <w:rPr>
          <w:b/>
        </w:rPr>
        <w:t>E. 5.2</w:t>
      </w:r>
    </w:p>
    <w:p>
      <w:r>
        <w:t>En l'espèce, la cour cantonale a jugé que l'intimée avait rendu vraisemblable sa titularité de 60 % des actions de X.________ SA. Elle a considéré qu'il ne serait pas compréhensible que A.________ et B.________ aient signé le formulaire fiscal n° 106 destiné à l'Administration fédérale des contributions le 25 janvier 2019, attestant de ce qu'un dividende de 144'000 fr. avait été attribué à l'intimée en qualité de titulaire de 60 % du capital social de X.________ SA, s'ils n'étaient pas d'accord avec son contenu. Il ressortait de ce formulaire qu'ils reconnaissaient, par leur signature, que l'intimée était titulaire de 60 % du capital-actions depuis le 22 septembre 2017. Or, X.________ SA soutenait que l'intimée ne serait jamais devenue actionnaire et non pas qu'elle ne l'aurait plus été au dépôt de la requête en convocation d'une assemblée générale. La cour cantonale a ajouté que l'intimée avait produit le certificat d'actions au porteur, constituant un indice supplémentaire en faveur de sa titularité desdites actions. X.________ SA n'avait par ailleurs pas démontré que la conversion de plein droit des actions au porteur en actions nominatives au 1er mai 2021 ferait perdre à l'intimée son intérêt actuel à agir en convocation d'une assemblée générale.</w:t>
      </w:r>
    </w:p>
    <w:p>
      <w:r>
        <w:rPr>
          <w:b/>
        </w:rPr>
        <w:t>E. 5.3.1</w:t>
      </w:r>
    </w:p>
    <w:p>
      <w:r>
        <w:t>La recourante critique tout d'abord l'appréciation opérée par les juges cantonaux en lien avec le formulaire fiscal. Elle soutient qu'ils perdaient de vue qu'il portait sur l'année fiscale 2017, moment auquel la qualité d'actionnaire de l'intimée n'était pas contestable puisque, à cette date, " les rapports de société simple noués entre les parties " n'avaient pas encore été dissous. Elle ajoute que la qualité d'actionnaire entre C.________ à titre personnel et l'intimée n'était pas claire. Elle conclut qu'il était arbitraire de lui opposer ses actions antérieures à la dissolution de la société simple: ce qui avait été fait en 2017 ne valait plus en 2021. En tant que la recourante allègue que le formulaire portait sur l'année fiscale 2017 uniquement, elle se fonde sur un fait qui n'a pas été constaté par la cour cantonale. Or, pour obtenir un complètement de l'état de fait sur ce point, il lui appartenait d'exposer de façon précise, notamment par des renvois à ses écritures, avoir présenté ce point à la cour cantonale, ce qu'elle n'a pas fait. En outre, la recourante ne discute pas de l'argumentation des juges cantonaux, lesquels relevaient qu'elle avait soutenu que l'intimée ne serait jamais devenue actionnaire et non pas qu'elle ne l'aurait plus été au dépôt de la requête en convocation d'une assemblée générale. Elle fait désormais valoir que l'intimée (ou C.________) aurait été actionnaire en 2017, mais que la situation aurait été différente en 2021. La cour cantonale n'a toutefois pas reconnu une quelconque dissolution de société simple dont se prévaut la recourante. Au final, cette dernière ne parvient pas à démontrer que l'appréciation des juges cantonaux en lien avec le formulaire précité serait arbitraire. Pour peu qu'il soit recevable, son grief doit être rejeté.</w:t>
      </w:r>
    </w:p>
    <w:p>
      <w:r>
        <w:rPr>
          <w:b/>
        </w:rPr>
        <w:t>E. 5.3.2</w:t>
      </w:r>
    </w:p>
    <w:p>
      <w:r>
        <w:t>S'agissant du certificat d'actions au porteur, la recourante soutient que la cour cantonale a omis de prendre en compte les faits nouveaux qu'elle avait produits le 9 juin 2021, puisque l'état de fait s'arrêtait au 25 février 2021. Tel n'est pas le cas. Sous la lettre B.d de son état de fait, la cour cantonale a détaillé sur plus d'une page le contenu de l'écriture du 9 juin 2021 de X.________ SA, y compris les faits nouveaux allégués et les pièces nouvelles produites. La cour cantonale a ensuite déclaré ces pièces recevables, au considérant 2.2 de son arrêt. Lorsque la recourante fait valoir que ces faits démontraient qu'à la suite de la suppression des titres au porteur, l'assemblée générale " avait entériné un nouveau registre des actionnaires retenant les trois associés de la société simple comme propriétaires en main commune des 60 % d'actions litigieux ", elle se fonde encore sur des faits qui n'ont pas été retenus par la cour cantonale. Là aussi, elle ne démontre pas, par un renvoi précis aux pièces du dossier, qu'elle les aurait présentés à l'instance précédente. Ils ne ressortent au demeurant pas expressément de son écriture du 9 juin 2021. Par ailleurs, la cour cantonale a relevé que X.________ SA n'avait pas démontré que la conversion de plein droit des actions au porteur en actions nominatives au 1er mai 2021 ferait perdre à l'intimée son intérêt actuel à agir en convocation d'une assemblée générale. La recourante ne critique pas valablement ce point. Elle soutient qu'au vu du contexte litigieux, la simple possession du certificat au porteur, annulé, n'était pas suffisante pour rendre vraisemblable la qualité d'actionnaire de l'intimée. La cour cantonale ne s'est toutefois pas fondée exclusivement sur ce certificat au porteur pour retenir, sans arbitraire, que l'intimée avait rendu vraisemblable sa titularité de 60 % des actions de X.________ SA.</w:t>
      </w:r>
    </w:p>
    <w:p>
      <w:r>
        <w:rPr>
          <w:b/>
        </w:rPr>
        <w:t>E. 6</w:t>
      </w:r>
    </w:p>
    <w:p>
      <w:r>
        <w:t>Enfin, la recourante reproche aux juges précédents d'avoir violé l' art. 690 al. 1 CO en laissant indécise la question de savoir si l'intimée devait agir par un représentant commun pour requérir la convocation d'une assemblée générale. Ce faisant, ils auraient également violé son droit à la contre-preuve découlant de l' art. 8 CC . La recourante soutient que la cour cantonale aurait dû constater l'existence, puis la dissolution d'une société simple formée entre A.________, B.________ et C.________, avant de trancher la question du représentant commun. Elle ajoute que si le jugement du 27 août 2020 du Tribunal de première instance, nommant un liquidateur à cette société simple, a été annulé par la cour cantonale par arrêt du 23 décembre 2020, cela n'était pas déterminant, puisque cette annulation reposait sur des motifs purement procéduraux.</w:t>
      </w:r>
    </w:p>
    <w:p>
      <w:r>
        <w:rPr>
          <w:b/>
        </w:rPr>
        <w:t>E. 6.1</w:t>
      </w:r>
    </w:p>
    <w:p>
      <w:r>
        <w:t>Selon l' art. 690 al. 1 CO , lorsqu'une action est la propriété de plusieurs personnes, celles-ci ne peuvent exercer que par un représentant commun les droits attachés à leur titre.</w:t>
      </w:r>
    </w:p>
    <w:p>
      <w:r>
        <w:rPr>
          <w:b/>
        </w:rPr>
        <w:t>E. 6.2</w:t>
      </w:r>
    </w:p>
    <w:p>
      <w:r>
        <w:t>La cour cantonale a considéré que la question de la nécessité d'un représentant commun pouvait rester ouverte, puisque X.________ SA se fondait essentiellement sur un jugement qui avait été annulé par arrêt du 23 décembre 2020 et n'avait donc pas rendu cette nécessité suffisamment vraisemblable. Dans cet arrêt, les juges cantonaux avaient expressément retenu que tant l'existence d'une société simple, que sa dissolution, étaient litigieuses, de sorte qu'un liquidateur ne pouvait être nommé dans le cadre de la procédure intentée. Ainsi, ils n'ont pas reconnu la dissolution d'une telle société, comme la recourante pourrait tenter de le faire croire. Par ailleurs, le jugement du 27 août 2020 écartait précisément D.________ Sàrl, intimée à la présente procédure, de la société simple qu'il avait retenue; l'arrêt du 23 décembre 2020 n'a pas remis en cause ce point concernant D.________ Sàrl. Dans son argumentation, la recourante revient sur une prétendue dissolution de société simple formée par A.________, B.________ et C.________, mais ne mentionne pas de manière claire l'intimée D.________ Sàrl. Au vu de ce qui précède, la recourante ne démontre pas que la cour cantonale aurait violé le droit fédéral en laissant ouverte la question de savoir s'il était nécessaire que l'intimée agisse par un représentant commun pour requérir la convocation d'une assemblée générale.</w:t>
      </w:r>
    </w:p>
    <w:p>
      <w:r>
        <w:rPr>
          <w:b/>
        </w:rPr>
        <w:t>E. 7</w:t>
      </w:r>
    </w:p>
    <w:p>
      <w:r>
        <w:t>En définitive, le recours doit être rejeté, dans la mesure où il est recevable. La recourante, qui succombe, prendra en charge les frais judiciaires ( art. 66 al. 1 LTF ). Elle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