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4A_558/2017 vom 29. Mai 2018</w:t>
      </w:r>
    </w:p>
    <w:p>
      <w:r>
        <w:t>Bundesgericht, 2018-05-29, FR</w:t>
      </w:r>
    </w:p>
    <w:p>
      <w:r>
        <w:rPr>
          <w:b/>
        </w:rPr>
        <w:t xml:space="preserve">Quelle: </w:t>
      </w:r>
      <w:r>
        <w:t>https://mcp.opencaselaw.ch/entscheid/bger_4A_558_2017</w:t>
      </w:r>
    </w:p>
    <w:p>
      <w:r>
        <w:t>FR: TF 4A_558/2017 du 29 mai 2018</w:t>
      </w:r>
    </w:p>
    <w:p>
      <w:r>
        <w:t>IT: TF 4A_558/2017 del 29 maggio 2018</w:t>
      </w:r>
    </w:p>
    <w:p>
      <w:pPr>
        <w:pStyle w:val="Heading2"/>
      </w:pPr>
      <w:r>
        <w:t>Erwägungen</w:t>
      </w:r>
    </w:p>
    <w:p>
      <w:r>
        <w:rPr>
          <w:b/>
        </w:rPr>
        <w:t>E. 1</w:t>
      </w:r>
    </w:p>
    <w:p>
      <w:r>
        <w:t>Interjeté en temps utile ( art. 100 al. 1 LTF ) contre une décision finale ( art. 90 LTF ), prise sur appel par le tribunal supérieur du canton de Vaud ( art. 75 LTF ), dans une affaire relative à la responsabilité civile d'un avocat (cf. art. 72 al. 1 LTF ), dont la valeur litigieuse est supérieure à 30'000 fr. ( art. 74 al. 1 let. b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L'autorité cantonale à laquelle une affaire est renvoyée est tenue de fonder sa nouvelle décision sur les considérants de droit de l'arrêt du Tribunal fédéral. Elle est liée par les points qui ont été définitivement tranchés par le Tribunal fédéral et par les constatations de fait qui n'ont pas été critiquées devant lui. Des faits nouveaux ne peuvent être pris en considération que s'ils se rapportent aux points qui font l'objet du renvoi, lesquels ne peuvent pas être étendus ni fixés sur une base juridique nouvelle. Il s'agit du principe de l'autorité de l'arrêt de renvoi, autrefois ancré à l' art. 66 al. 1 OJ et qui demeure applicable sous l'empire de la LTF. Ce principe s'impose au Tribunal fédéral lui-même lorsqu'il est saisi d'un nouveau recours contre la décision cantonale ( ATF 135 III 334 consid. 2; 131 III 91 consid. 5.2; arrêt 5A_263/2017 du 6 février 2018 consid. 2).</w:t>
      </w:r>
    </w:p>
    <w:p>
      <w:r>
        <w:rPr>
          <w:b/>
        </w:rPr>
        <w:t>E. 3.2</w:t>
      </w:r>
    </w:p>
    <w:p>
      <w:r>
        <w:t>Dans son arrêt de renvoi, le Tribunal fédéral a définitivement tranché certaines questions. Outre l'admission de la légitimation passive de l'avocat intimé (consid. 3), le Tribunal fédéral a retenu que le mandat d'office de celui-ci se rapportait à la défense des intérêts de la recourante dans la procédure judiciaire ouverte contre le fonds U.________, qui s'est terminée avec l'entrée en force du jugement du 19 février 2001, intervenue le 31 mai 2001. Il a en outre retenu que la recourante n'avait pas prouvé avoir confié à l'intimé un mandat privé après la fin du mandat d'office en 2001 (consid. 2.1) et que la portée du mandat privé octroyé en 1999 n'était pas connue, de sorte qu'il n'y avait pas de place pour une responsabilité de l'intimé sur cette base (consid. 2.2).</w:t>
      </w:r>
    </w:p>
    <w:p>
      <w:r>
        <w:t>La cour cantonale s'est conformée à cet arrêt de renvoi, en examinant la question de la prescription sous l'angle de la violation par l'intimé de ses obligations d'avocat d'office uniquement. La cour de céans est tenue de s'y conformer également.</w:t>
      </w:r>
    </w:p>
    <w:p>
      <w:r>
        <w:rPr>
          <w:b/>
        </w:rPr>
        <w:t>E. 4</w:t>
      </w:r>
    </w:p>
    <w:p>
      <w:r>
        <w:t>En ce qui concerne l'étendue du mandat confié à l'intimé et le moment auquel ce mandat a pris fin, la recourante se plaint d'arbitraire dans l'établissement des faits ( art. 9 Cst. ).</w:t>
      </w:r>
    </w:p>
    <w:p>
      <w:r>
        <w:rPr>
          <w:b/>
        </w:rPr>
        <w:t>E. 4.1</w:t>
      </w:r>
    </w:p>
    <w:p>
      <w:r>
        <w:t>S'agissant de l'étendue du mandat, la recourante soutient que le mandat confié à l'intimé consistait à demander des prestations d'invalidité auprès de l'institution compétente. Il ne se limitait donc pas strictement à la procédure contre le fonds U.________, mais s'étendait à une action contre C.________.</w:t>
      </w:r>
    </w:p>
    <w:p>
      <w:r>
        <w:t>S'agissant du moment auquel le mandat confié a pris fin, la recourante soutient que la cour cantonale a versé dans l'arbitraire en retenant que le mandat a pris fin à l'entrée en force du jugement du 19 février 2001, soit le 31 mai 2001. L'intimé ne lui aurait jamais communiqué la fin du mandat et n'aurait jamais entrepris de démarches en vue de son indemnisation, preuve qu'à ses yeux le mandat n'était pas terminé. Au demeurant, il ne serait pas crédible que l'intimé l'ait laissée se charger seule de demander des prestations à C.________ ou qu'elle n'ait pas instruit l'intimé d'agir à l'encontre de C.________, alors qu'elle aurait été informée de ses droits.</w:t>
      </w:r>
    </w:p>
    <w:p>
      <w:r>
        <w:rPr>
          <w:b/>
        </w:rPr>
        <w:t>E. 4.2</w:t>
      </w:r>
    </w:p>
    <w:p>
      <w:r>
        <w:t>Ce faisant, la recourante entend revenir sur des éléments définitivement tranchés par l'arrêt de renvoi. Dans cet arrêt, le Tribunal fédéral avait précisément retenu que le mandat d'office de l'intimé était seul pertinent pour décider de la responsabilité de l'intimé, qu'il concernait uniquement la procédure ouverte contre le fonds U.________ et qu'il avait pris fin avec l'entrée en force du jugement rendu dans le cadre de cette procédure. L'on ne saurait dès lors considérer que la cour cantonale, qui s'est conformée aux éléments figurant dans l'arrêt de renvoi, aurait versé dans l'arbitraire sur la question de l'étendue du mandat ou la fin de celui-ci.</w:t>
      </w:r>
    </w:p>
    <w:p>
      <w:r>
        <w:rPr>
          <w:b/>
        </w:rPr>
        <w:t>E. 5</w:t>
      </w:r>
    </w:p>
    <w:p>
      <w:r>
        <w:t>En ce qui concerne la prescription de son action, la recourante se plaint de violation de l' art. 8 CC , dans la mesure où l'intimé n'aurait pas apporté la preuve des faits fondant l'exception de prescription qu'il a soulevée.</w:t>
      </w:r>
    </w:p>
    <w:p>
      <w:r>
        <w:rPr>
          <w:b/>
        </w:rPr>
        <w:t>E. 5.1</w:t>
      </w:r>
    </w:p>
    <w:p>
      <w:r>
        <w:t>Relevant qu'aucune des parties ne conteste l'applicabilité d'un délai de prescription de dix ans, la cour cantonale a fixé le début de ce délai à l'éventuelle violation contractuelle par l'intimé, indépendamment de la survenance du dommage subi par l'intéressée le 1er octobre 2003, date à laquelle ses prétentions contre C.________ se sont prescrites. Cette éventuelle violation contractuelle ne pouvait avoir eu lieu après la fin du mandat d'office, soit après l'entrée en force du jugement le 31 mai 2001, l'obligation de l'avocat d'informer et d'orienter son client sur les suites à donner à un jugement n'existant que tant qu'un recours est encore possible. La cour cantonale a encore précisé qu'il n'y avait pas une situation de péril en la demeure, qui aurait contraint l'avocat d'agir au-delà du 31 mai 2001, puisque la prescription du droit à une rente de la recourante n'est survenue que le 1er octobre 2003.</w:t>
      </w:r>
    </w:p>
    <w:p>
      <w:r>
        <w:rPr>
          <w:b/>
        </w:rPr>
        <w:t>E. 5.2</w:t>
      </w:r>
    </w:p>
    <w:p>
      <w:r>
        <w:t>La recourante soutient que l'intimé n'a pas été en mesure de prouver la date à laquelle son mandat a pris fin, de sorte que c'est en violation de l' art. 8 CC que la cour cantonale a retenu l'exception de prescription. Outre que ledit mandat avait un caractère général et s'étendait à une procédure initiée à l'encontre de C.________, l'intimé n'aurait pas établi avoir communiqué le jugement du 19 février 2001 à la recourante ni n'aurait établi l'avoir informée sur les éventuelles actions encore possibles ensuite du rejet de la demande contre le fonds U.________. La preuve que le mandat aurait pris fin plus de dix ans avant la renonciation à invoquer la prescription de l'intimé du 22 décembre 2011 n'aurait donc pas été apportée.</w:t>
      </w:r>
    </w:p>
    <w:p>
      <w:r>
        <w:rPr>
          <w:b/>
        </w:rPr>
        <w:t>E. 5.3.1</w:t>
      </w:r>
    </w:p>
    <w:p>
      <w:r>
        <w:t>Les actions fondées sur des obligations contractuelles se prescrivent, sauf disposition spéciale, par dix ans ( art. 127 CO ), dès que la créance est devenue exigible ( art. 130 al. 1 CO ). La prétention en dommages-intérêts découlant de la violation positive du contrat naît et devient exigible au moment de la violation du devoir contractuel, et non pas seulement lorsque le lésé peut reconnaître et constater les conséquences de cette violation. En d'autres termes, elle commence à se prescrire avec la violation du contrat, indépendamment de la survenance du dommage ( ATF 137 III 16 consid. 2.3, 2.4.1 et 2.4.3; 106 II 134 consid. 2; 87 II 155 consid. 3a p. 159 ss; arrêt 4A_148/2017 du 20 décembre 2017 consid. 4.2.2). En cas d'omission continue d'exécuter une obligation pendant la période contractuelle, la prescription décennale de l' art. 127 CO commence en principe à courir au plus tard depuis la fin du contrat ( ATF 106 II 134 consid. 2d).</w:t>
      </w:r>
    </w:p>
    <w:p>
      <w:r>
        <w:t>Est en l'occurrence inapplicable la jurisprudence rendue en matière de lésions corporelles, selon laquelle il peut ne pas être tenu compte de la prescription si, au vu des circonstances exceptionnelles d'un cas d'espèce, il appert que son application limite l'accès des ayants droits à un tribunal à tel point que ce droit se trouverait atteint dans sa substance même (arrêt rendu par la Cour européenne des droits de l'homme dans l'affaire Howald Moor et autres c. Suisse, du 11 mars 2014, nos 52067/10 et 41072/11, § 77-80, in JdT 2014 II 165; arrêt 4F_15/2014 du 11 novembre 2015 consid. 2.3, publié à l' ATF 142 I 42 , et consid. 3; arrêt 4A_148/2017 du 20 décembre 2017 consid. 4.2.4).</w:t>
      </w:r>
    </w:p>
    <w:p>
      <w:r>
        <w:rPr>
          <w:b/>
        </w:rPr>
        <w:t>E. 5.3.2</w:t>
      </w:r>
    </w:p>
    <w:p>
      <w:r>
        <w:t>En sa qualité de mandataire, l'avocat est tenu à la bonne et fidèle exécution du mandat ( art. 398 al. 2 CO ). Il répond à l'endroit de son mandant s'il lui cause un dommage en violant ses obligations de diligence et de fidélité ( ATF 134 III 534 consid. 3.2.2; 127 III 357 consid. 1b et les références). Savoir si la manière d'agir d'un avocat doit être qualifiée de conforme ou non à son devoir de diligence résulte d'une pesée appréciative entre, d'une part, le risque engendré par le métier d'avocat et, d'autre part, l'autorité renforcée dont il est revêtu à l'égard de son mandant ( ATF 134 III 534 consid. 3.2.2; 127 III 357 consid. 1c).</w:t>
      </w:r>
    </w:p>
    <w:p>
      <w:r>
        <w:t>L'avocat doit informer son mandant sans délai des décisions qui lui ont été notifiées et lui faire part des diverses solutions envisageables. Dans l'hypothèse où la décision est défavorable au mandant, il doit également, dans le délai de recours, s'assurer de la volonté de celui-ci de ne pas recourir ( ATF 110 Ib 94 consid. 2, p. 95; 106 II 173 , p. 174). S'il y a péril en la demeure, par exemple pour interrompre une prescription ou requérir des mesures provisoires, l'avocat doit en principe entreprendre les démarches nécessaires, même s'il n'a pu obtenir préalablement l'aval de son mandant (François Bohnet/Vincent Martenet, Droit de la profession d'avocat, 2009, p. 1093 s. n. 2739).</w:t>
      </w:r>
    </w:p>
    <w:p>
      <w:r>
        <w:t>L'avocat est tenu d'accepter les défenses d'office et les mandats d'assistance judiciaire dans le canton au registre duquel il est inscrit ( art. 12 let . g LLCA). Lorsqu'il est mandaté d'office, il doit accomplir sa mission jusqu'à son terme, sauf circonstances exceptionnelles, faute de pouvoir mettre librement fin au mandat (cf. art. 404 CO ; Benoît Chappuis, La profession d'avocat, tome I, 2ème éd., 2016, p. 84). L'avocat d'office est en outre tenu d'apporter aux affaires pour lesquelles il a été mandaté d'office le même soin que pour ses autres mandats (arrêt 2P.248/2001 du 20 décembre 2001 consid. 2b; Walter Fellmann, Anwaltsrecht, 2ème éd., 2017, p. 209 § 476).</w:t>
      </w:r>
    </w:p>
    <w:p>
      <w:r>
        <w:rPr>
          <w:b/>
        </w:rPr>
        <w:t>E. 5.3.3</w:t>
      </w:r>
    </w:p>
    <w:p>
      <w:r>
        <w:t>En soutenant que l'intimé n'a pas été en mesure de prouver la date à laquelle son mandat a pris fin, la recourante revient sur des éléments définitivement tranchés par l'arrêt de renvoi, de sorte que sa critique est irrecevable. Le Tribunal fédéral a limité l'éventuelle responsabilité de l'intimé au mandat pour lequel il a été désigné d'office, dont le seul objet était la procédure initiée contre le fonds U.________. Ce mandat d'office, comme l'obligation correspondante de l'intimé d'informer et d'orienter sa mandante, ont pris fin au plus tard au moment où le jugement rendu au terme de cette procédure est devenu définitif, soit le 31 mai 2001. La responsabilité de l'intimé, auquel aucun autre mandat d'office ou privé n'a été confié, ne saurait s'étendre indéfiniment après la fin de la procédure pour laquelle il a été mandaté. Elle ne saurait pas plus s'étendre à une procédure pour laquelle il n'a pas été mandaté, ce d'autant qu'aucune action immédiate n'était requise. Dans ces circonstances, une éventuelle violation contractuelle, dans le sens d'une omission d'interrompre la prescription, n'a pu être commise par l'intimé que jusqu'au 31 mai 2001 au plus tard.</w:t>
      </w:r>
    </w:p>
    <w:p>
      <w:r>
        <w:t>Partant, la cour cantonale n'a pas violé le droit fédéral en retenant que l'action de la recourante à l'encontre de l'intimé était déjà prescrite le 22 décembre 2011, soit au moment où ce dernier a renoncé à se prévaloir de la prescription.</w:t>
      </w:r>
    </w:p>
    <w:p>
      <w:r>
        <w:rPr>
          <w:b/>
        </w:rPr>
        <w:t>E. 6</w:t>
      </w:r>
    </w:p>
    <w:p>
      <w:r>
        <w:t>En définitive, le recours doit être rejeté dans la mesure où il est recevable.</w:t>
      </w:r>
    </w:p>
    <w:p>
      <w:r>
        <w:t>Concernant la demande d'assistance judiciaire, celle-ci est subordonnée à la double condition que la partie requérante ne dispose pas de ressources suffisantes et que ses conclusions ne paraissent pas vouées à l'échec ( art. 64 al. 1 LTF ). En l'occurrence, l'on ne saurait retenir qu'au moment du dépôt de la requête, les chances de succès du recours n'étaient que légèrement inférieures aux risques de rejet (cf. ATF 139 III 396 consid. 1.2; 138 III 217 consid. 2.2.4), alors que ledit recours revient pour l'essentiel sur des questions définitivement tranchées dans l'arrêt de renvoi rendu précédemment par l'autorité de céans. La seconde exigence cumulative n'étant pas réalisée, la recourante ne peut prétendre à l'octroi de l'assistance judiciaire gratuite, quelle que soit sa situation financière (arrêt 4A_618/2017 du 11 janvier 2018 consid. 6). Néanmoins, à titre exceptionnel et pour tenir compte de la situation économique défavorable de la recourante, le Tribunal fédéral renonce à percevoir des frais judiciaires (art. 66 al. 1 i.f. LTF).</w:t>
      </w:r>
    </w:p>
    <w:p>
      <w:r>
        <w:t>Il n'est pas alloué de dépens à l'intimé, qui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