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4A_558/2014 vom 20. Mai 2015</w:t>
      </w:r>
    </w:p>
    <w:p>
      <w:r>
        <w:t>Bundesgericht, 2015-05-20, DE</w:t>
      </w:r>
    </w:p>
    <w:p>
      <w:r>
        <w:rPr>
          <w:b/>
        </w:rPr>
        <w:t xml:space="preserve">Quelle: </w:t>
      </w:r>
      <w:r>
        <w:t>https://mcp.opencaselaw.ch/entscheid/bger_4A_558_2014</w:t>
      </w:r>
    </w:p>
    <w:p>
      <w:r>
        <w:t>FR: TF 4A_558/2014 du 20 mai 2015</w:t>
      </w:r>
    </w:p>
    <w:p>
      <w:r>
        <w:t>IT: TF 4A_558/2014 del 20 maggio 2015</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mit Blick auf die allgemeinen Begründungsanforderungen an eine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1.1</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ermittelt worden ist, sind strenge Anforderungen an die Begründung der Beschwerde gerechtfertigt. Entsprechende Beanstandungen sind nach Massgabe von Art. 106 Abs. 2 BGG zu begründen ( BGE 133 II 249 E. 1.4.3 S. 254 f. mit Hinweisen).</w:t>
      </w:r>
    </w:p>
    <w:p>
      <w:r>
        <w:rPr>
          <w:b/>
        </w:rPr>
        <w:t>E. 1.2.1</w:t>
      </w:r>
    </w:p>
    <w:p>
      <w:r>
        <w:t>Wer die Sachverhaltsfeststellungen der Vorinstanz anfechten will, kann sich nicht damit begnügen, den bestrittenen Feststellungen eigene tatsächliche Behauptungen gegenüberzustellen oder darzulegen, wie die Beweise seiner Ansicht nach zu würdigen gewesen wären. Vielmehr ist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1.2.2</w:t>
      </w:r>
    </w:p>
    <w:p>
      <w:r>
        <w:t>"Offensichtlich unrichtig" und damit "willkürlich" ( Art. 9 BV ; vgl. BGE 140 III 115 E. 2 S. 117, 264 E. 2.3 S. 266)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140 III 16 E. 2.1 S. 18 f. ; 129 I 8 E. 2.1 S. 9).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1.2.3</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 BGE 140 III 86 E. 2 S. 90 mit Hinweisen). Neue Tatsachen und Beweismittel dürfen nur soweit vorgebracht werden, als erst der Entscheid der Vorinstanz dazu Anlass gibt ( Art. 99 Abs. 1 BGG ; BGE 136 III 123 E. 4.4.3 S. 129 mit Hinweisen), was in der Beschwerde ebenfalls näher darzulegen ist ( BGE 133 III 393 E. 3 S. 395).</w:t>
      </w:r>
    </w:p>
    <w:p>
      <w:r>
        <w:rPr>
          <w:b/>
        </w:rPr>
        <w:t>E. 1.3</w:t>
      </w:r>
    </w:p>
    <w:p>
      <w:r>
        <w:t>Art. 8 ZGB gibt der beweispflichtigen Partei in allen bundesrechtlichen Zivilstreitigkeiten einen Anspruch darauf, für rechtserhebliche Vorbringen zum Beweis zugelassen zu werden, wenn ihr Beweisantrag nach Form und Inhalt den Vorschriften des anwendbaren Prozessrechts entspricht (vgl. Art. 152 ZPO ; Urteil des Bundesgerichts 4A_56/2013 vom 4. April 2013 E. 4.4).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133 III 295 E. 7.1 S. 299). Art. 8 ZGB wird auch verletzt, wenn der Richter taugliche und formgültig beantragte Beweise zu rechtserheblichen Tatsachen nicht abnimmt, obwohl er die Sachvorbringen dazu weder als erstellt noch als widerlegt erachtet. Wo der Richter dagegen in Würdigung von Beweisen zur Überzeugung gelangt, eine Tatsachenbehauptung sei bewiesen oder widerlegt, ist die Beweislastverteilung gegenstandslos und liegt Beweiswürdigung vor. Art. 8 ZGB schreibt dem Gericht nicht vor, mit welchen Mitteln der Sachverhalt abzuklären und wie das Ergebnis zu würdigen ist. Bundesrechtlich ist auch eine antizipierte Beweiswürdigung nicht ausgeschlossen ( BGE 130 III 591 E. 5.4 S. 601 f.). Mithin gibt Art. 8 ZGB keinen Anspruch auf Weiterungen eines erfolgreichen Beweisverfahrens, weil die Bestimmung stets an den Begriff und die Folgen der Beweislosigkeit anknüpft.</w:t>
      </w:r>
    </w:p>
    <w:p>
      <w:r>
        <w:rPr>
          <w:b/>
        </w:rPr>
        <w:t>E. 2</w:t>
      </w:r>
    </w:p>
    <w:p>
      <w:r>
        <w:t>Zwischen den Parteien ist umstritten, ob der Beschwerdegegner seine Tätigkeit für die Beschwerdeführerin überhaupt aufgenommen hat. Die Vorinstanz sah es insbesondere gestützt auf den E-Mailverkehr zwischen dem Beschwerdegegner und dem Verwaltungsratspräsidenten der Beschwerdeführerin sowie die darin erwähnten vom Beschwerdegegner erstellten Dokumente (einen Businessplan von 34 Seiten, einen Liquiditätsplan sowie eine "Break-even-Berechnung") als erwiesen an, dass sich der Beschwerdegegner mit der Ausarbeitung eines Businessplanes befasste, in die Vorbereitung eines Workshops involviert war, vom Verwaltungsratspräsidenten in finanzstrategischen Fragen konsultiert wurde, die Aufsichtsräte der deutschen Tochtergesellschaften mit Planzahlen und einer Liste vom Rechnungsausständen belieferte und an Besprechungen mit dem Verwaltungsratspräsidenten teilnahm. Sie erachtete es als unwahrscheinlich, dass der Beschwerdegegner sich im Rahmen einer Privatreise ausgerechnet mit der Hauptinvestorin der Beschwerdeführerin getroffen hätte (auch wenn er die Investorin bereits im Rahmen seines bisherigen Arbeitsverhältnisses betreut hatte) und ging davon aus, auch diese Reise sei in Erfüllung des Arbeitsvertrages erfolgt. Aus der Tatsache, dass der Verwaltungsratspräsident in regem Kontakt mit dem Beschwerdegegner stand, nie ein Nichterscheinen am Arbeitsort gerügt oder angedeutet habe, der Beschwerdegegner komme seinen vertraglichen Pflichten nicht nach oder habe zu wenig Arbeitsstunden geleistet, schloss die Vorinstanz, die Beschwerdeführerin habe sich in quantitativer und qualitativer Hinsicht mit den Leistungen des Beschwerdegegners zufrieden gegeben und die von der Beschwerdeführerin behaupte Vereinbarung, der Arbeitsort befinde sich in den Büroräumlichkeiten des Verwaltungsratspräsidenten, sei, falls sie getroffen worden sein sollte, jedenfalls konkludent abgeändert worden. Allerdings sah die Vorinstanz im Verhalten des Beschwerdegegners eine schwerwiegende Pflichtverletzung, welche die ausgesprochene fristlose Kündigung rechtfertige.</w:t>
      </w:r>
    </w:p>
    <w:p>
      <w:r>
        <w:rPr>
          <w:b/>
        </w:rPr>
        <w:t>E. 2.1</w:t>
      </w:r>
    </w:p>
    <w:p>
      <w:r>
        <w:t>Die Beschwerdeführerin kritisiert den Schluss der Vorinstanz, der Beschwerdegegner habe seine Arbeitsstelle angetreten, als willkürlich und Art. 8 ZGB verletzend. Da die Vorinstanz aber zu einem positiven Beweisergebnis gekommen ist, liegt Beweiswürdigung vor, und fällt eine Verletzung von Art. 8 ZGB ausser Betracht.</w:t>
      </w:r>
    </w:p>
    <w:p>
      <w:r>
        <w:rPr>
          <w:b/>
        </w:rPr>
        <w:t>E. 2.2</w:t>
      </w:r>
    </w:p>
    <w:p>
      <w:r>
        <w:t>Willkür in der Beweiswürdigung vermag die Beschwerdeführerin mit ihren Vorbringen nicht aufzuzeigen, da diese den Begründungsanforderungen über weite Strecken nicht genügen.</w:t>
      </w:r>
    </w:p>
    <w:p>
      <w:r>
        <w:rPr>
          <w:b/>
        </w:rPr>
        <w:t>E. 2.2.1</w:t>
      </w:r>
    </w:p>
    <w:p>
      <w:r>
        <w:t>So wird beispielsweise gerügt, es sei willkürlich anzunehmen, die Reise nach Afrika sei für die Beschwerdeführerin erfolgt, ohne auch nur den Beschwerdegegner persönlich befragt zu haben. Die Beschwerdeführerin zeigt aber nicht mit Aktenhinweis auf, wo sie sich im kantonalen Verfahren auf dieses Beweismittel berufen hätte, oder woraus sich ergibt, dass die Vorinstanz das Beweismittel auch ohne entsprechenden Antrag hätte berücksichtigen müssen. Auch im Übrigen stellt die Beschwerdeführerin zu Beginn der Beschwerdegründe ihre eigene Sicht der Dinge dar und behauptet Tatsachen, wie die Reise nach Afrika sei offensichtlich von der Hauptinvestorin finanziert worden, die von der Vorinstanz nicht festgestellt wurden. Sie zeigt aber nicht mit Aktenhinweis auf, dass sie entsprechende Vorbringen bereits vor der Vorinstanz prozesskonform in das Verfahren eingebracht hätte oder dass erst der angefochtene Entscheid zu den Vorbringen Anlass gibt.</w:t>
      </w:r>
    </w:p>
    <w:p>
      <w:r>
        <w:rPr>
          <w:b/>
        </w:rPr>
        <w:t>E. 2.2.2</w:t>
      </w:r>
    </w:p>
    <w:p>
      <w:r>
        <w:t>Es genügt nicht, wenn die Beschwerdeführerin vor Bundesgericht Behauptungen aufstellt oder Behauptungen wiedergibt, die sie im kantonalen Verfahren erhoben haben will, und moniert, es hätte ein Beweisverfahren stattfinden müssen. Sie müsste vielmehr im Einzelnen dartun, welche Beweismittel sie im kantonalen Verfahren zu welchen Behauptungen angeboten hat und dass es im Ergebnis offensichtlich unhaltbar ist, zum von der Vorinstanz angenommenen Beweisergebnis ohne Abnahme der angebotenen Beweise zu kommen. Dasselbe gilt, soweit sie eine Verletzung des rechtlichen Gehörs rügen möchte. Blosse Behauptungen ohne Angabe der dafür angebotenen Beweismittel unter Aktenhinweis, genügen diesen Anforderungen nicht. Auch der blosse Verweis auf die Plädoyernotizen ist als Aktenhinweis ungenügend, da es nicht Sache des Bundesgerichts ist, die Plädoyernotizen danach zu durchforsten, ob sich daraus etwas zu Gunsten der Beschwerdeführerin ableiten liesse. Dies ist vielmehr in der Beschwerde substanziiert aufzuzeigen.</w:t>
      </w:r>
    </w:p>
    <w:p>
      <w:r>
        <w:rPr>
          <w:b/>
        </w:rPr>
        <w:t>E. 2.2.3</w:t>
      </w:r>
    </w:p>
    <w:p>
      <w:r>
        <w:t>Soweit sich die Beschwerdeführerin auf Beweismittel beruft (wie die Edition aller E-Mails aus dem Account des Beschwerdegegners bei der Beschwerdeführerin), von denen sich aus dem angefochtenen Entscheid ergibt, dass der Beweisantrag gestellt wurde, oder soweit sie aufzeigt, wo genau sie in Plädoyernotizen Behauptungen aufgestellt oder Beweismittel angeboten haben will, legt sie nicht rechtsgenüglich dar, dass es im Ergebnis offensichtlich unhaltbar wäre, den Beweis schon aufgrund der von der Vorinstanz gewürdigten Beweismittel als erbracht anzusehen. Denn selbst wenn der Nachweis gelingen sollte, dass der Beschwerdegegner seine über die Beschwerdeführerin laufende Mobiltelefonnummer auf sich privat umschreiben liess oder dass Hotelbelege, auf die sich die Vorinstanz stützte, im Zusammenhang mit privaten Machenschaften des Beschwerdegegners standen, würde dies nicht dazu führen, dass die Annahme, der Beschwerdegegner sei für die Beschwerdeführerin tätig gewesen, im Ergebnis offensichtlich unhaltbar und damit willkürlich erschiene. Es bleibt der E-Mailverkehr, an dem der Verwaltungsratspräsident der Beschwerdeführerin beteiligt war, und der den Beschwerdegegner als in die Tätigkeiten der Beschwerdeführerin integriert und für diese tätig erscheinen lässt. Auch der Schluss der Vorinstanz, der Beschwerdegegner sei bereits vor dem Datum des ersten E-Mails (15. Mai 2011) für die Beschwerdeführerin tätig gewesen, zumal darin auf den 34-seitigen Businessplan Bezug genommen werde, mit dessen Erarbeitung der Beschwerdegegner befasst gewesen sei und zu dessen Fertigstellung er noch weitere Informationen eingefordert habe, ist in keiner Weise willkürlich. Die bereits im Plädoyer erhobene Behauptung, der Beschwerdegegner habe intrigiert um einen CEO-Posten zu erhalten, könnte sodann, selbst wenn sie erstellt wäre, allenfalls eine weitere Pflichtwidrigkeit des Beschwerdegegners darstellen, würde aber im Ergebnis nichts daran ändern, dass aus dem E-Mailverkehr willkürfrei auf eine Arbeitstätigkeit des Beschwerdegegners geschlossen werden konnte.</w:t>
      </w:r>
    </w:p>
    <w:p>
      <w:r>
        <w:rPr>
          <w:b/>
        </w:rPr>
        <w:t>E. 2.3</w:t>
      </w:r>
    </w:p>
    <w:p>
      <w:r>
        <w:t>Insgesamt genügt die Beschwerdeführerin mit ihren Ausführungen den strengen Anforderungen an eine Sachverhaltsrüge weitgehend nicht. Insoweit ist auf die Beschwerde nicht einzutreten. Unter der Annahme, der Arbeitsantritt des Beschwerdegegners sei erwiesen, ist es auch nicht offensichtlich unhaltbar, wenn die Vorinstanz aus dem E-Mailverkehr, in dem keine mangelnde Arbeitsleistung des Beschwerdegegners beanstandet wurde oder Vorschriften betreffend die Arbeitszeit gemacht wurden, schloss, es sei Vertrauensarbeitszeit vereinbart gewesen und der Beschwerdegegner habe mit Blick auf die Arbeitszeit die vertragliche Vereinbarung eingehalten.</w:t>
      </w:r>
    </w:p>
    <w:p>
      <w:r>
        <w:rPr>
          <w:b/>
        </w:rPr>
        <w:t>E. 3</w:t>
      </w:r>
    </w:p>
    <w:p>
      <w:r>
        <w:t>Schliesslich beruft sich die Beschwerdeführerin auf das Rechtsmissbrauchsverbot. Sie habe schon im kantonalen Verfahren dargelegt, dass der Beschwerdegegner nichts Positives an Arbeitstätigkeit eingebracht habe. Nachdem er das ganze Geschäft kaputt gemacht habe, stehe ihm kein Anspruch auf eine Vergütung zu. Wieder unterlässt es die Beschwerdeführerin anzugeben, aus welchen Beweismitteln sich ergeben sollte, dass der Beschwerdegegner das gesamte Geschäft kaputt gemacht habe, und wo genau sie dies im kantonalen Verfahren prozesskonform behauptet hat. Auch insoweit genügt die Beschwerde den Begründungsanforderungen nicht. Hinzu kommt, dass die Vorinstanz entgegen der Darstellung der Beschwerdeführerin darauf geschlossen hat, der Beschwerdegegner habe auch Arbeit für die Beschwerdeführerin geleistet, die von dieser qualitativ nicht beanstandet worden sei. Unter dieser Voraussetzung verletzt es jedenfalls kein Recht, wenn die Vorinstanz den Lohnanspruch des Beschwerdegegners nicht am Rechtsmissbrauchsverbot scheitern lässt. Der Ersatz für allenfalls vom Beschwerdegegner verursachte Schäden kann nicht über das Rechtsmissbrauchsverbot erfolgen.</w:t>
      </w:r>
    </w:p>
    <w:p>
      <w:r>
        <w:rPr>
          <w:b/>
        </w:rPr>
        <w:t>E. 4</w:t>
      </w:r>
    </w:p>
    <w:p>
      <w:r>
        <w:t>Die Beschwerdeführerin wiederholt über weite Strecken ihre Vorbringen im kantonalen Verfahren. Sie weicht von den tatsächlichen Feststellungen der Vorinstanz ab, ohne mit ihren appellatorischen Vorbringen den strengen Begründungsanforderungen an derartige Rügen zu genügen. Insgesamt erweist sich die Beschwerde als nicht stichhaltig. Sie ist abzuweisen soweit angesichts der mangelhaften Begründung überhaupt darauf eingetreten werden kann.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