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4A_557/2025 vom 20. März 2026</w:t>
      </w:r>
    </w:p>
    <w:p>
      <w:r>
        <w:t>Bundesgericht, 2026-03-20, DE</w:t>
      </w:r>
    </w:p>
    <w:p>
      <w:r>
        <w:rPr>
          <w:b/>
        </w:rPr>
        <w:t xml:space="preserve">Quelle: </w:t>
      </w:r>
      <w:r>
        <w:t>https://mcp.opencaselaw.ch/entscheid/bger_4A_557_2025</w:t>
      </w:r>
    </w:p>
    <w:p>
      <w:r>
        <w:t>FR: TF 4A_557/2025 du 20 mars 2026</w:t>
      </w:r>
    </w:p>
    <w:p>
      <w:r>
        <w:t>IT: TF 4A_557/2025 del 20 marzo 2026</w:t>
      </w:r>
    </w:p>
    <w:p>
      <w:pPr>
        <w:pStyle w:val="Heading2"/>
      </w:pPr>
      <w:r>
        <w:t>Erwägungen</w:t>
      </w:r>
    </w:p>
    <w:p>
      <w:r>
        <w:rPr>
          <w:b/>
        </w:rPr>
        <w:t>E. 1</w:t>
      </w:r>
    </w:p>
    <w:p>
      <w:r>
        <w:t>Das Bundesgericht prüft von Amtes wegen und mit freier Kognition, ob ein Rechtsmittel zulässig ist ( Art. 29 Abs. 1 BGG ; BGE 150 III 248 E. 1; 149 III 277 E. 3.1; 148 IV 155 E. 1.1).</w:t>
      </w:r>
    </w:p>
    <w:p>
      <w:r>
        <w:rPr>
          <w:b/>
        </w:rPr>
        <w:t>E. 1.1</w:t>
      </w:r>
    </w:p>
    <w:p>
      <w:r>
        <w:t>Die Beschwerde betrifft eine Zivilsache ( Art. 72 Abs. 1 BGG ) und richtet sich gegen einen Endentscheid ( Art. 90 BGG ) eines oberen kantonalen Gerichts, das als Rechtsmittelinstanz entschieden hat ( Art. 75 Abs. 1 BGG ). Der Beschwerdeführer ist mit seinen Anträgen unterlegen ( Art. 76 Abs. 1 BGG ), der Streitwert ist erreicht ( Art. 74 Abs. 1 lit. b BGG ). Er hat zudem die Beschwerdefrist ( Art. 100 Abs. 1 BGG ) eingehalten. Unter Vorbehalt einer hinreichenden Begründung ( Art. 42 Abs. 2 und Art. 106 Abs. 2 BGG ) ist demnach auf seine Beschwerde einzutreten.</w:t>
      </w:r>
    </w:p>
    <w:p>
      <w:r>
        <w:rPr>
          <w:b/>
        </w:rPr>
        <w:t>E. 1.2</w:t>
      </w:r>
    </w:p>
    <w:p>
      <w:r>
        <w:t>Mit Beschwerde in Zivilsachen können Rechtsverletzungen nach Art. 95 und Art.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vorinstanzlichen Verfahren eingenommen hat, erneut bekräftigen, sondern mit ihrer Kritik an den als rechtsfehlerhaft erachteten Erwägungen der Vorinstanz ansetzen ( BGE 148 IV 205 E. 2.6; 140 III 115 E. 2, 86 E. 2).</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148 V 366 E. 3.3; 143 IV 241 E. 2.3.1; 140 III 115 E. 2). Überdies muss die Behebung des Mangels für den Ausgang des Verfahrens entscheidend sein können ( Art. 97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1.4</w:t>
      </w:r>
    </w:p>
    <w:p>
      <w:r>
        <w:t>Die Beweiswürdigung ist nicht schon dann willkürlich, wenn sie nicht mit der Darstellung der beschwerdeführenden Partei übereinstimmt, sondern bloss, wenn sie offensichtlich unhaltbar ist.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144 II 281 E. 3.6.2; 140 III 264 E. 2.3; 137 III 226 E. 4.2).</w:t>
      </w:r>
    </w:p>
    <w:p>
      <w:r>
        <w:rPr>
          <w:b/>
        </w:rPr>
        <w:t>E. 2</w:t>
      </w:r>
    </w:p>
    <w:p>
      <w:r>
        <w:t>Die Vorinstanz wies das Schadenersatzbegehren des Beschwerdeführers mit folgender Begründung ab:</w:t>
      </w:r>
    </w:p>
    <w:p>
      <w:r>
        <w:rPr>
          <w:b/>
        </w:rPr>
        <w:t>E. 2.1</w:t>
      </w:r>
    </w:p>
    <w:p>
      <w:r>
        <w:t>Gemäss Art. 2697 des Codice Civile Italiano (CC; italienisches Zivilgesetzbuch) trage diejenige Partei, welche ein Recht gerichtlich durchsetzen wolle, die Beweislast für die anspruchsbegründenden Tatsachen. Bei einem Zusammenstoss von Fahrzeugen mildere die gesetzliche Vermutung in Art. 2054 Abs. 2 CC diese Beweislast ab. Danach werde in solchen Fällen bis zum Gegenbeweis vermutet, dass jeder Fahrzeuglenker bei der Verursachung des an den einzelnen Fahrzeugen entstandenen Schadens zu gleichen Teilen mitgewirkt habe.</w:t>
      </w:r>
    </w:p>
    <w:p>
      <w:r>
        <w:rPr>
          <w:b/>
        </w:rPr>
        <w:t>E. 2.2</w:t>
      </w:r>
    </w:p>
    <w:p>
      <w:r>
        <w:t>Die Fahrordnung des D.________s e.V. schreibe den Teilnehmern des Trackdays ausdrücklich vor, die eigene Geschwindigkeit unbedingt den Strassen-, Sicht- und Wetterverhältnissen anzupassen. Dies beinhalte offenkundig auch die Pflicht zur Beherrschung des eigenen Fahrzeugs. Der Beschwerdeführer sei nach eigener Darstellung mit sogenannten Semi-Slick-Pneus unterwegs gewesen. Wie er selbst geltend mache, hätten diese Pneus die Bodenhaftung seines Fahrzeuges auf der Rennpiste erhöht.</w:t>
      </w:r>
    </w:p>
    <w:p>
      <w:r>
        <w:rPr>
          <w:b/>
        </w:rPr>
        <w:t>E. 2.3</w:t>
      </w:r>
    </w:p>
    <w:p>
      <w:r>
        <w:t>Der Beschwerdeführer sei von der Fahrbahn abgekommen, weil er in der Kurve 9 wegen überhöhter Geschwindigkeit die Beherrschung über seinen Porsche verloren habe. Andere Gründe - wie technisches Versagen oder eine Verunreinigung der Fahrbahn - habe der Beschwerdeführer nicht nachgewiesen. Er habe keinen plausiblen Grund angegeben, weshalb er trotz der verbesserten Bodenhaftung mit den Semi-Slicks von der Strecke abgekommen sei. Folglich sei sein Kontrollverlust auf ein fahrerisches Fehlverhalten, insbesondere eine den Verhältnissen nicht angepasste, überhöhte Geschwindigkeit, zurückzuführen.</w:t>
      </w:r>
    </w:p>
    <w:p>
      <w:r>
        <w:rPr>
          <w:b/>
        </w:rPr>
        <w:t>E. 2.4</w:t>
      </w:r>
    </w:p>
    <w:p>
      <w:r>
        <w:t>Die unangemessene Fahrweise des Beschwerdeführers habe nicht nur dazu geführt, dass er von der Piste abgekommen sei. Vielmehr sei sein Porsche im Kiesbett ins Schleudern gekommen und von dort wieder auf die Fahrbahn geraten. Auf diese Weise habe der Beschwerdeführer für das nachfolgende Fahrzeug ein unvorhersehbares und ungewöhnliches Hindernis geschaffen. Entsprechend trage er das alleinige Verschulden am Unfall. Demgegenüber könne E.________ kein Verschulden angelastet werden, welches eine (Mit-) Haftung der Beschwerdegegnerin begründen würde. Vielmehr habe der Beschwerdeführer eine Regelverletzung begangen. Er trage mit dem selbstverschuldeten Kontrollverlust die alleinige Verantwortung am Unfall. Da der Beschwerdeführer den Nachweis für ein (Mit-) Verschulden von E.________n nicht erbracht habe, gelte die Vermutung von Art. 2054 Abs. 2 CC nicht.</w:t>
      </w:r>
    </w:p>
    <w:p>
      <w:r>
        <w:rPr>
          <w:b/>
        </w:rPr>
        <w:t>E. 3.1</w:t>
      </w:r>
    </w:p>
    <w:p>
      <w:r>
        <w:t>Der Beschwerdeführer wirft der Vorinstanz zunächst vor, ihn in seinem Anspruch auf rechtliches Gehör ( Art. 29 Abs. 2 BV ) verletzt zu haben. Zum einen habe sich die Vorinstanz nicht zur genauen Bedeutung von Art. 2054 Abs. 2 CC geäussert. Und zum anderen sei sie bloss partiell auf seine Ausführungen eingegangen. Richtigerweise sei er mit seinem Porsche vor der Kollision vollständig zum Stillstand gekommen. Die Vorinstanz habe sich auch mit keinem Wort zur möglichen (Mit-) Verantwortung von E.________ und dessen widersprüchlichen Aussagen geäussert.</w:t>
      </w:r>
    </w:p>
    <w:p>
      <w:r>
        <w:rPr>
          <w:b/>
        </w:rPr>
        <w:t>E. 3.2</w:t>
      </w:r>
    </w:p>
    <w:p>
      <w:r>
        <w:t>Die Vorwürfe des Beschwerdeführers treffen nicht zu: Die Vorinstanz befasste sich eingehend mit Art. 2054 Abs. 2 CC und seiner Bedeutung im strassenverkehrsrechtlichen Kontext. Dabei ging sie auch auf die Auslegung dieser Bestimmung durch den italienischen Corte Suprema di Cassazione ein. Die Vorinstanz verneinte eine Haftung der Beschwerdegegnerin für den Schaden des Beschwerdeführers, weil dieser aufgrund übersetzter Geschwindigkeit die Beherrschung über seinen Porsche verloren habe. Aufgrund seines fahrtechnischen Fehlverhaltens sei er alleine für seinen Schaden verantwortlich. Soweit der Beschwerdeführer diesbezüglich rügt, die Vorinstanz habe sich bloss punktuell mit seiner Sachdarstellung auseinandergesetzt, kann ihm nicht gefolgt werden: Der Anspruch auf rechtliches (Gehör Art. 29 Abs. 2 BV ) verlangt nicht, dass das Gericht jedes einzelne Vorbringen einer Partei ausdrücklich widerlegen muss. Vielmehr kann es sich auf die für den Entscheid wesentlichen Punkte beschränken ( BGE 150 III 1 E. 4.5; 146 II 335 E. 5.1; 143 III 65 E. 5.2). Weshalb die vorinstanzliche Begründung unklar sein soll, zeigt der Beschwerdeführer nicht schlüssig auf. Er behauptet zu Recht auch nicht, er habe den vorinstanzlichen Entscheid aufgrund ungenügender Begründung nicht sachgerecht anfechten können.</w:t>
      </w:r>
    </w:p>
    <w:p>
      <w:r>
        <w:rPr>
          <w:b/>
        </w:rPr>
        <w:t>E. 4.1</w:t>
      </w:r>
    </w:p>
    <w:p>
      <w:r>
        <w:t>Sodann macht der Beschwerdeführer geltend, die Vorinstanz habe die Beweise willkürlich gewürdigt. Insbesondere habe sie die Schwere des Unfalls verharmlost. So schliesse sie aus der Tatsache, dass niemand verletzt worden sei, auf eine nicht besonders heftige Kollision. Eine solche Vorgehensweise sei unwissenschaftlich. Weiter habe die Vorinstanz die Darstellung der Beschwerdegegnerin praktisch unbesehen übernommen. Im Urteil fehle jede Auseinandersetzung mit den unglaubhaften Aussagen von E.________. Die Vorinstanz übersehe, dass sich der Beschwerdeführer seinerseits stets widerspruchsfrei geäussert habe. Die Vorinstanz habe zentrale, unbestrittene Tatsachen ignoriert und stattdessen auf Vermutungen der Beschwerdegegnerin abgestellt, ohne diese kritisch zu hinterfragen.</w:t>
      </w:r>
    </w:p>
    <w:p>
      <w:r>
        <w:rPr>
          <w:b/>
        </w:rPr>
        <w:t>E. 4.2</w:t>
      </w:r>
    </w:p>
    <w:p>
      <w:r>
        <w:t>Der Beschwerdeführer möchte erreichen, dass das Bundesgericht alle Beweismittel, insbesondere die Aussagen der beiden in den Unfall involvierten Fahrer, umfassend neu würdigt. Er lässt dabei ausser Acht, dass das Bundesgericht keine Appellationsinstanz ist. Es überprüft die Beweiswürdigung bloss auf Willkür hin. Eine solche legt der Beschwerdeführer nicht dar. Damit erübrigen sich Ausführungen zum Aussageverhalten der beiden Fahrer.</w:t>
      </w:r>
    </w:p>
    <w:p>
      <w:r>
        <w:rPr>
          <w:b/>
        </w:rPr>
        <w:t>E. 5.1</w:t>
      </w:r>
    </w:p>
    <w:p>
      <w:r>
        <w:t>Der Beschwerdeführer wirft der Vorinstanz weiter vor, sie habe ausser Acht gelassen, dass sein Porsche vor der Kollision bereits zum Stillstand gekommen sei. Folglich hätte E.________ als nachfolgender Fahrer genügend Reaktionszeit gehabt, um die Kollision zu vermeiden. Die Vorinstanz hätte bei dieser Ausgangslage die Haftung der Beschwerdegegnerin prüfen und höchstwahrscheinlich bejahen müssen.</w:t>
      </w:r>
    </w:p>
    <w:p>
      <w:r>
        <w:rPr>
          <w:b/>
        </w:rPr>
        <w:t>E. 5.2</w:t>
      </w:r>
    </w:p>
    <w:p>
      <w:r>
        <w:t>Mit dieser Sachverhaltsrüge wiederholt der Beschwerdeführer bloss seinen im kantonalen Verfahren vertretenen Standpunkt zum Unfallhergang. Wie er selbst betont, sprächen "sämtliche Indizien dafür, dass der Versicherungsnehmer der Beschwerdegegnerin bei gehöriger Vorsicht die Kollision hätte vermeiden oder zumindest abmildern können". Der Beschwerdeführer vermag den aus seiner Sicht zutreffenden Geschehensablauf somit nicht direkt, sondern bloss über Indizien, denen er ein anderes Gewicht als die Vorinstanz beimisst, darzutun. Von einer geradezu offensichtlich unrichtigen Sachverhaltsfeststellung kann bei dieser Ausgangslage keine Rede sein.</w:t>
      </w:r>
    </w:p>
    <w:p>
      <w:r>
        <w:rPr>
          <w:b/>
        </w:rPr>
        <w:t>E. 6.1</w:t>
      </w:r>
    </w:p>
    <w:p>
      <w:r>
        <w:t>Schliesslich rügt der Beschwerdeführer, die Vorinstanz habe weder den Inhalt von Art. 2054 Abs. 2 CC eigenständig abgeklärt noch die massgebende italienische Lehre oder Rechtsprechung zu dieser Bestimmung konsultiert. Die Vorinstanz habe die in dieser Bestimmung festgelegte Vermutung der geteilten Unfallverursachung missachtet. Insbesondere habe sie vom Beschwerdeführer den Beweis eines Fremdverschuldens verlangt, obwohl dieser Entlastungsnachweis richtigerweise der Beschwerdegegnerin obliege. Indem die Vorinstanz von einer klaren ausländischen Rechtsnorm abgewichen sei, habe sie Bundesrecht verletzt.</w:t>
      </w:r>
    </w:p>
    <w:p>
      <w:r>
        <w:rPr>
          <w:b/>
        </w:rPr>
        <w:t>E. 6.2</w:t>
      </w:r>
    </w:p>
    <w:p>
      <w:r>
        <w:t>Mit der Beschwerde in Zivilsachen kann die beschwerdeführende Partei rügen, ausländisches Recht sei nicht angewendet worden, wie es das schweizerische internationale Privatrecht vorschreibt ( Art. 96 lit. a BGG ). In nicht vermögensrechtlichen Streitigkeiten kann sie überdies vorbringen, die Vorinstanz habe das nach dem schweizerischen internationalen Privatrecht massgebende ausländische Recht nicht richtig angewendet ( Art. 96 lit. b BGG ).</w:t>
      </w:r>
    </w:p>
    <w:p>
      <w:r>
        <w:t>Der Beschwerdeführer klagt eine Geldforderung ein. Folglich ist eine vermögensrechtliche Zivilrechtsstreitigkeit zu beurteilen. Er behauptet nicht, die Vorinstanz habe in Verletzung des schweizerischen internationalen Privatrechts das falsche ausländische Recht ermittelt. Ebenso wenig zeigt er auf, dass die Vorinstanz die im italienischen Recht geltenden Beweisvorschriften bloss lückenhaft festgestellt habe. Vielmehr scheint er davon auszugehen, dass das Bundesgericht die italienischen Normen über Art. 16 Abs. 1 IPRG als Bundesrecht frei auslegen dürfe. Dies trifft indessen nicht zu.</w:t>
      </w:r>
    </w:p>
    <w:p>
      <w:r>
        <w:t>Folglich könnte der Beschwerdeführer vor Bundesgericht einzig rügen, der angefochtene Entscheid wende ausländisches Recht verfassungswidrig, insbesondere willkürlich im Sinne von Art. 9 BV , an ( BGE 136 II 304 E. 5.3; 133 III 446 E. 3.1). Der Beschwerdeführer zeigt indessen nicht rechtsgenügend auf, dass und weshalb die Vorinstanz Art. 2054 Abs. 2 CC in einer geradezu unhaltbaren und damit qualifiziert falschen Weise angewandt habe.</w:t>
      </w:r>
    </w:p>
    <w:p>
      <w:r>
        <w:rPr>
          <w:b/>
        </w:rPr>
        <w:t>E. 7</w:t>
      </w:r>
    </w:p>
    <w:p>
      <w:r>
        <w:t>Die Beschwerde ist demnach abzuweisen, soweit darauf einzutreten ist.</w:t>
      </w:r>
    </w:p>
    <w:p>
      <w:r>
        <w:t>Bei diesem Ausgang des Verfahrens wird der Beschwerdeführer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