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557/2023 vom 12. Dezember 2023</w:t>
      </w:r>
    </w:p>
    <w:p>
      <w:r>
        <w:t>Bundesgericht, 2023-12-12, DE</w:t>
      </w:r>
    </w:p>
    <w:p>
      <w:r>
        <w:rPr>
          <w:b/>
        </w:rPr>
        <w:t xml:space="preserve">Quelle: </w:t>
      </w:r>
      <w:r>
        <w:t>https://mcp.opencaselaw.ch/entscheid/bger_4A_557_2023</w:t>
      </w:r>
    </w:p>
    <w:p>
      <w:r>
        <w:t>FR: TF 4A 557/2023 du 12 décembre 2023</w:t>
      </w:r>
    </w:p>
    <w:p>
      <w:r>
        <w:t>IT: TF 4A 557/2023 del 12 dicembre 2023</w:t>
      </w:r>
    </w:p>
    <w:p>
      <w:pPr>
        <w:pStyle w:val="Heading2"/>
      </w:pPr>
      <w:r>
        <w:t>Regeste</w:t>
      </w:r>
    </w:p>
    <w:p>
      <w:r>
        <w:t>Mieterausweisung, | Vertragsrecht</w:t>
      </w:r>
    </w:p>
    <w:p>
      <w:pPr>
        <w:pStyle w:val="Heading2"/>
      </w:pPr>
      <w:r>
        <w:t>Erwägungen</w:t>
      </w:r>
    </w:p>
    <w:p>
      <w:r>
        <w:rPr>
          <w:b/>
        </w:rPr>
        <w:t>E. 1</w:t>
      </w:r>
    </w:p>
    <w:p>
      <w:r>
        <w:t>Mit Entscheid vom 19. September 2023 hiess das Regionalgericht Landquart das Gesuch der Beschwerdegegner um Mieterausweisung gut und wies den Beschwerdeführer gerichtlich an, die 4.5-Zimmer-Wohnung samt Kellerabteil und Doppelgarage in der Liegenschaft X.________ in U.________ unverzüglich, bis spätestens am 30. September 2023 zu räumen und den Beschwerdegegnern geräumt und gereinigt mit allen Schlüsseln zu übergeben. Mit Urteil vom 2. November 2023 trat das Kantonsgericht von Graubünden auf eine vom Beschwerdeführer gegen den regionalgerichtlichen Entscheid vom 19. September 2023 erhobene Berufung mangels rechtsgenügender Begründung des Rechtsmittels nicht ein. Mit Eingabe vom 17. November 2023 erklärte der Beschwerdeführer dem Bundesgericht, den Entscheid des Kantonsgerichts von Graubünden vom 2. November 2023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Die Eingabe des Beschwerdeführers vom 17. November 2023 erfüllt die genannten Begründungsanforderungen offensichtlich nicht. Er setzt sich nicht hinreichend mit den Erwägungen des angefochtenen Urteils des Kantonsgerichts von Graubünden vom 2. November 2023 auseinander und zeigt nicht auf, inwiefern die Vorinstanz mit ihrem Nichteintretensentscheid Bundesrecht verletzt hätte. 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sinngemäss gestellte Gesuch um Befreiung von diesen Kosten im bundesgerichtlichen Verfahren gegenstandslos wird.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