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4A_557/2012 vom 7. Januar 2013</w:t>
      </w:r>
    </w:p>
    <w:p>
      <w:r>
        <w:t>Bundesgericht, 2013-01-07, FR</w:t>
      </w:r>
    </w:p>
    <w:p>
      <w:r>
        <w:rPr>
          <w:b/>
        </w:rPr>
        <w:t xml:space="preserve">Quelle: </w:t>
      </w:r>
      <w:r>
        <w:t>https://mcp.opencaselaw.ch/entscheid/bger_4A_557_2012</w:t>
      </w:r>
    </w:p>
    <w:p>
      <w:r>
        <w:t>FR: TF 4A_557/2012 du 7 janvier 2013</w:t>
      </w:r>
    </w:p>
    <w:p>
      <w:r>
        <w:t>IT: TF 4A_557/2012 del 7 gennaio 2013</w:t>
      </w:r>
    </w:p>
    <w:p>
      <w:pPr>
        <w:pStyle w:val="Heading2"/>
      </w:pPr>
      <w:r>
        <w:t>Erwägungen</w:t>
      </w:r>
    </w:p>
    <w:p>
      <w:r>
        <w:rPr>
          <w:b/>
        </w:rPr>
        <w:t>E. 1.1</w:t>
      </w:r>
    </w:p>
    <w:p>
      <w:r>
        <w:t>Interjeté par une partie qui a succombé partiellement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bail (art. 51 al. 1 let. a et 74 al. 1 let. a LTF),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être formé pour violation d'un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recourante entend se plaindre d'arbitraire dans l'appréciation des preuves, elle doit motiver ce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t>Si le Tribunal fédéral admet le recours, il peut statuer lui-même sur le fond ou renvoyer l'affaire à l'autorité cantonale pour qu'elle prenne une nouvelle décision ( art. 107 al. 2 LTF ).</w:t>
      </w:r>
    </w:p>
    <w:p>
      <w:r>
        <w:rPr>
          <w:b/>
        </w:rPr>
        <w:t>E. 2.1</w:t>
      </w:r>
    </w:p>
    <w:p>
      <w:r>
        <w:t>Il résulte des constatations cantonales - qui lient le Tribunal fédéral ( art. 105 al. 1 LTF ) - que les parties ont conclu, par deux actes séparés, un contrat de bail à loyer au sens de l' art. 253 CO , portant d'une part sur un appartement (donc une habitation au sens de la loi) et, d'autre part, sur une place de stationnement.</w:t>
      </w:r>
    </w:p>
    <w:p>
      <w:r>
        <w:t>Alors que le bail était prolongé pour une durée indéterminée, la locataire a donné congé sans respecter le délai de préavis et le terme convenus (cf. art. 266a al. 1 CO ). Il en résulte, vu les clauses contractuelles, que la résiliation ne peut déployer ses effets qu'au 31 mars 2010 (cf. art. 266a al. 2 CO ). La locataire reste donc en principe tenue de payer les sommes mensuelles convenues jusqu'à cette date.</w:t>
      </w:r>
    </w:p>
    <w:p>
      <w:r>
        <w:t>Selon l' art. 264 al. 1 CO , le locataire qui restitue la chose sans observer les délai ou terme de congé, est néanmoins libéré de ses obligations envers le bailleur s'il lui présente un nouveau locataire qui soit solvable et que le bailleur ne puisse raisonnablement refuser; le nouveau locataire doit en outre être disposé à reprendre le bail aux mêmes conditions.</w:t>
      </w:r>
    </w:p>
    <w:p>
      <w:r>
        <w:t>Pour que le locataire soit libéré, il est donc essentiel que le successeur proposé soit prêt à reprendre le bail aux mêmes conditions. L'idée sous-jacente est que le bailleur doit se trouver dans la même situation que celle qui aurait été la sienne si le bail s'était poursuivi avec le même preneur (arrêt 4A_504/2009 du 6 janvier 2010 consid. 2.4, in SJ 2010 I p. 491; cf. également ATF 117 II 156 consid. 3b p. 159 s.). Le locataire de remplacement doit donc accepter les locaux dans l'état où ils se trouvent; il ne peut prétendre à leur remise en état que si le locataire sortant était en droit de la réclamer (DAVID LACHAT, Le bail à loyer, 2008, n° 5.3.2 p. 615).</w:t>
      </w:r>
    </w:p>
    <w:p>
      <w:r>
        <w:t>En l'espèce, si la locataire a articulé le nom d'un successeur, elle a été dans l'incapacité de fournir des coordonnées permettant de joindre une personne disposée à reprendre le bail. Il n'est donc pas établi, dans ce premier cas, qu'elle ait donné à la bailleresse l'occasion de conclure un nouveau bail aux mêmes conditions. Ce point n'est d'ailleurs pas contesté.</w:t>
      </w:r>
    </w:p>
    <w:p>
      <w:r>
        <w:t>La locataire invoque ensuite le cas d'un couple qui était disposé à reprendre l'appartement, mais pas dans l'état où il se trouvait. Ces personnes n'étaient en conséquence pas disposées à reprendre le bail " aux mêmes conditions " au sens de l' art. 264 al. 1 CO . Dans la mesure où elles demandaient des travaux de nettoyage, il est clair que l'intimée ne pouvait pas les réclamer à la bailleresse, puisque les travaux de nettoyage lui incombaient ( art. 259 CO ). Elle ne pouvait pas non plus réclamer la réparation de dégâts qui lui sont imputables, tels que ceux qui ont été constatés. Dès lors que le couple exigeait une remise en état de l'appartement, il faut constater qu'il n'était pas disposé à conclure un bail aux mêmes conditions, c'est-à-dire à occuper les locaux comme l'aurait fait l'intimée jusqu'au 31 mars 2010. En ne tenant pas compte du fait que ce couple réclamait une remise en état, la cour cantonale a violé l' art. 264 al. 1 CO .</w:t>
      </w:r>
    </w:p>
    <w:p>
      <w:r>
        <w:t>Partant, il faut constater que la locataire n'a présenté aucun successeur disposé à conclure un bail aux mêmes conditions, de sorte qu'elle reste tenue de payer les sommes convenues (2'560 fr. par mois) jusqu'à l'échéance contractuelle (le 31 mars 2010), d'où un solde à payer de 12'800 fr. (2'560 fr. pendant les cinq mois courant de novembre à mars).</w:t>
      </w:r>
    </w:p>
    <w:p>
      <w:r>
        <w:rPr>
          <w:b/>
        </w:rPr>
        <w:t>E. 2.2</w:t>
      </w:r>
    </w:p>
    <w:p>
      <w:r>
        <w:t>A la fin du bail, le locataire doit restituer la chose dans l'état qui résulte d'un usage conforme au contrat ( art. 267 al. 1 CO ). Lors de la restitution, le bailleur doit vérifier l'état de la chose et aviser immédiatement le locataire des défauts dont celui-ci répond ( art. 267a al. 1 CO ). Il appartient ainsi au locataire de prendre en charge les dégâts qui excèdent l'usure normale de la chose. L'usure normale de la chose est fonction de sa destination et s'apprécie sur la base de tabelles déterminant la durée de vie moyenne des installations, même s'il reste possible d'apporter des preuves concrètes. Il s'ensuit que le locataire doit supporter les frais de réparation de l'installation qui est affectée d'un défaut dû à l'usage anormal de la chose louée; il ne répond cependant pas de la valeur à neuf de l'installation, mais de sa valeur actuelle compte tenu de la dépréciation de la chose due à l'écoulement du temps, le fardeau de la preuve incombant au bailleur (arrêt 4C.261/2006 du 1er novembre 2006 consid. 3.1, in SJ 2007 I p. 365; sur l'usage de la tabelle: cf. également arrêt 4C.131/1995 du 15 novembre 1995 consid. 2, in SJ 1996 p. 322).</w:t>
      </w:r>
    </w:p>
    <w:p>
      <w:r>
        <w:t>Il sied maintenant d'examiner chacun des postes du dommage qui reste litigieux devant le Tribunal fédéral. Il convient cependant d'observer que certains postes ne sont plus discutés, de sorte qu'il n'y a pas lieu d'y revenir. Tel est le cas d'une première facture du peintre B.________, du 7 mars 2010, s'élevant à 904 fr.90, qui a été mise à la charge de la locataire à raison de 518 fr., de la facture de robinetterie de 326 fr.80, dont la locataire a été tenue redevable, et des frais de constat, par 600 fr., que la locataire a été condamnée à régler.</w:t>
      </w:r>
    </w:p>
    <w:p>
      <w:r>
        <w:t>Ainsi, les montants mis à la charge de la locataire qui ne sont plus discutés s'élèvent à 1'444 fr.80 (518 fr. + 326 fr.80 + 600 fr.).</w:t>
      </w:r>
    </w:p>
    <w:p>
      <w:r>
        <w:rPr>
          <w:b/>
        </w:rPr>
        <w:t>E. 2.2.1</w:t>
      </w:r>
    </w:p>
    <w:p>
      <w:r>
        <w:t>En ce qui concerne la seconde facture du peintre B.________, du 7 mars 2010, s'élevant à 1'240 fr., la recourante soutient que ce montant aurait dû être mis à la charge de la locataire en totalité.</w:t>
      </w:r>
    </w:p>
    <w:p>
      <w:r>
        <w:t>La cour cantonale a constaté que le constat notarié ne parlait de taches et de trous grossièrement rebouchés qu'à propos du salon. Elle a ainsi uniquement pris en compte les travaux de peinture relatifs à cette pièce, par 244 fr.25, puis réduit ce montant en vertu de l'amortissement depuis l'entrée en jouissance, pour parvenir à un reliquat de 140 fr. pouvant être mis à la charge de la locataire.</w:t>
      </w:r>
    </w:p>
    <w:p>
      <w:r>
        <w:t>On ne voit pas ce qu'il y aurait d'arbitraire à croire le constat dressé par le notaire (pour la définition de l'arbitraire: cf. ATF 138 I 49 consid. 7.1 p. 51; 138 III 378 consid. 6.1 p. 379 s.; 138 IV 13 consid. 5.1 p. 22; pour le cas particulier de l'arbitraire dans l'appréciation des preuves: cf. ATF 136 III 552 consid. 4.2 p. 560; 129 I 8 consid. 2.1 p. 9). Il doit être rappelé qu'il incombe à la partie qui invoque l'arbitraire dans l'appréciation des preuves d'en faire la démonstration par une argumentation précise répondant aux exigences de l' art. 106 al. 2 LTF ( ATF 137 I 58 consid. 4.1.2 p. 62). En l'espèce, il ne ressort pas de l'argumentation de la recourante que le notaire aurait constaté la présence de taches ou de trous mal rebouchés dans d'autres pièces ou que ce fait - contrairement aux constatations du notaire - ressortirait du résultat univoque de l'appréciation des preuves. On ne voit donc pas que la cour cantonale ait statué arbitrairement en concluant que les dégâts ici en cause n'affectaient que le salon. Quant à la réduction due à la dépréciation résultant de l'écoulement du temps, elle est - comme on vient de le voir - conforme à la jurisprudence. La recourante ne discute d'ailleurs pas les chiffres intervenant dans ce calcul (cf. art. 42 al. 1 et 2 LTF ). Il faut donc s'en tenir au montant admis par la cour cantonale, soit 140 fr.</w:t>
      </w:r>
    </w:p>
    <w:p>
      <w:r>
        <w:rPr>
          <w:b/>
        </w:rPr>
        <w:t>E. 2.2.2</w:t>
      </w:r>
    </w:p>
    <w:p>
      <w:r>
        <w:t>La recourante conteste également le montant retenu par la cour cantonale sur la facture du menuisier C.________ datée du 26 avril 2010 et s'élevant à 5'454 fr.25.</w:t>
      </w:r>
    </w:p>
    <w:p>
      <w:r>
        <w:t>La contestation de la recourante ne porte que sur le poste de vitrification et ponçage du parquet, soit 4'062 fr.20 (106,9 m2 à 38 fr.). Il est reproché à la cour cantonale de n'avoir pris en compte que la surface du salon (36,9 m2) et d'avoir admis une longévité de l'installation de dix ans.</w:t>
      </w:r>
    </w:p>
    <w:p>
      <w:r>
        <w:t>Il ressort effectivement de l'arrêt attaqué que la cour cantonale n'a pris en compte que la surface du salon. On ne parvient cependant pas à comprendre, en lisant son arrêt, pourquoi elle s'est limitée à cette seule pièce. Elle a noté que le constat authentique relève des trous, des taches et des traces de talons de chaussures dans la chambre nord-ouest au rez-de-chaussée, des griffures et des traces de talons de chaussures dans la chambre nord-est, tandis qu'au premier étage dans la chambre nord-est, le parquet était griffé. On ne voit dès lors pas pourquoi la cour cantonale a admis que seul le salon avait subi ces dégâts. Cette constatation de fait, qui semble en contrariété avec le constat du notaire, doit donc être qualifiée d'arbitraire.</w:t>
      </w:r>
    </w:p>
    <w:p>
      <w:r>
        <w:t>S'agissant de la longévité, la cour cantonale s'est référée à la tabelle d'amortissement commune aux associations de bailleurs et de locataires (LACHAT, op. cit., p. 869 ss). Elle a cependant perdu de vue - ce qui est également arbitraire - que la durée de dix ans ne concerne que les travaux de vitrification, et non pas les travaux de ponçage. Le menuisier, entendu comme témoin, a affirmé que le ponçage ne devait être effectué que tous les vingt ans et il n'y a aucune raison d'écarter cette affirmation. Comme les constatations cantonales (à l'instar de la facture) ne permettent pas de distinguer entre les frais de ponçage et ceux de vitrification, il y a lieu de répartir la somme de 4'062 fr.20 par moitié et de retenir, en arrondissant les chiffres, qu'il faut mettre à la charge de la locataire 1'421 fr. pour la vitrification (70% de 2'030 fr., délai de longévité de dix ans) et 1'725 fr. pour le ponçage (85% de 2'030 fr., délai de longévité de vingt ans), soit un total de 3'146 fr.</w:t>
      </w:r>
    </w:p>
    <w:p>
      <w:r>
        <w:t>Comme le démontage et la remise des plinthes, facturés 535 fr., étaient nécessaires pour faire ces travaux, il y a lieu de mettre cette somme à la charge de la locataire en considérant que le travail étant déjà nécessaire pour la vitrification, donc tous les dix ans. On retiendra ainsi 70% de 535 fr., soit 374 fr. en chiffres ronds.</w:t>
      </w:r>
    </w:p>
    <w:p>
      <w:r>
        <w:rPr>
          <w:b/>
        </w:rPr>
        <w:t>E. 2.2.3</w:t>
      </w:r>
    </w:p>
    <w:p>
      <w:r>
        <w:t>Ainsi, la somme totale due par la locataire en relation avec les dégâts qui excèdent l'usure normale se décompose de la manière suivante:</w:t>
      </w:r>
    </w:p>
    <w:p>
      <w:r>
        <w:t>- 518 fr. pour la première facture du peintre B.________</w:t>
      </w:r>
    </w:p>
    <w:p>
      <w:r>
        <w:t>- 140 fr. pour la seconde facture du peintre B.________</w:t>
      </w:r>
    </w:p>
    <w:p>
      <w:r>
        <w:t>- 326 fr.80 pour la robinetterie</w:t>
      </w:r>
    </w:p>
    <w:p>
      <w:r>
        <w:t>- 600 fr. pour les frais de notaire</w:t>
      </w:r>
    </w:p>
    <w:p>
      <w:r>
        <w:t>- 3'146 fr. pour les frais du menuisier C.________</w:t>
      </w:r>
    </w:p>
    <w:p>
      <w:r>
        <w:t>- 374 fr. pour l'enlèvement et la remise des plinthes</w:t>
      </w:r>
    </w:p>
    <w:p>
      <w:r>
        <w:t>total: 5'104 fr.80.</w:t>
      </w:r>
    </w:p>
    <w:p>
      <w:r>
        <w:t>Si on ajoute à cette somme les 12'800 fr. correspondant au montant dû pour la période de novembre 2009 à mars 2010, on parvient à un total de 17'904 fr.80.</w:t>
      </w:r>
    </w:p>
    <w:p>
      <w:r>
        <w:rPr>
          <w:b/>
        </w:rPr>
        <w:t>E. 2.3</w:t>
      </w:r>
    </w:p>
    <w:p>
      <w:r>
        <w:t>La cour cantonale a admis, sur demande reconventionnelle, que la bailleresse devait rembourser la facture de l'entreprise d'électricité pour la période de janvier à mars 2010, soit 158 fr.75, ce que la recourante conteste.</w:t>
      </w:r>
    </w:p>
    <w:p>
      <w:r>
        <w:t>Dans la perspective de l' art. 53 LTF , il faut préciser que l'on ne se trouve plus en présence d'une demande reconventionnelle, mais seulement d'une créance compensatoire invoquée par l'intimée pour réduire le montant de la créance que la recourante fait valoir.</w:t>
      </w:r>
    </w:p>
    <w:p>
      <w:r>
        <w:t>Il ressort des constatations cantonales (et des pièces mentionnées) que la locataire avait conclu un contrat d'abonnement avec l'entreprise d'électricité A.________. La question débattue est de savoir si la locataire avait ou non résilié ce contrat d'abonnement et si oui pour quelle date. Il s'agit d'une question sans pertinence. En effet, si la locataire n'avait pas résilié le contrat d'abonnement, elle restait débitrice, sur la base de ce contrat, des prestations fournies par A.________; si elle avait résilié le contrat, l'entreprise A.________ ne pouvait plus rien lui facturer après la date d'échéance. S'il y a un litige à ce propos, il concerne le contrat d'abonnement, c'est-à-dire les relations entre la locataire et A.________. Pour la bailleresse, il s'agit d'une res inter alios acta. On ne voit pas à quel titre la bailleresse pourrait être redevable d'une facture fondée sur un contrat conclu entre des tiers (la locataire et A.________). En admettant une obligation de rembourser de la recourante, la cour cantonale a violé le principe de la relativité des conventions. Ainsi, la créance compensatoire doit être entièrement rejetée.</w:t>
      </w:r>
    </w:p>
    <w:p>
      <w:r>
        <w:rPr>
          <w:b/>
        </w:rPr>
        <w:t>E. 2.4</w:t>
      </w:r>
    </w:p>
    <w:p>
      <w:r>
        <w:t>En relation avec les frais et dépens de la procédure cantonale, la recourante reproche à l'autorité précédente d'avoir violé l'art. 144 de l'ancien Code de procédure civile neuchâtelois. Tout en souhaitant compléter l'état de fait, elle pose en réalité une question - comme cela ressort de sa motivation - qui relève de l'interprétation et de l'application de cette disposition cantonale. Or le recours en matière civile n'est pas ouvert pour se plaindre d'une violation du droit cantonal ( art. 95 et 96 LTF ; ATF 138 V 67 consid. 2.2 p. 69). Comme la recourante n'invoque aucune violation du droit fédéral, notamment pas l'interdiction de l'arbitraire (cf. art. 106 al. 2 LTF ), ce grief est irrecevable.</w:t>
      </w:r>
    </w:p>
    <w:p>
      <w:r>
        <w:rPr>
          <w:b/>
        </w:rPr>
        <w:t>E. 3</w:t>
      </w:r>
    </w:p>
    <w:p>
      <w:r>
        <w:t>Sur les sommes qui restent litigieuses devant le Tribunal fédéral, la recourante obtient gain de cause pour environ 80%. Les frais et dépens seront donc fixés selon cette clé de répartition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