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557/2009 vom 23. März 2010</w:t>
      </w:r>
    </w:p>
    <w:p>
      <w:r>
        <w:t>Bundesgericht, 2010-03-23, FR</w:t>
      </w:r>
    </w:p>
    <w:p>
      <w:r>
        <w:rPr>
          <w:b/>
        </w:rPr>
        <w:t xml:space="preserve">Quelle: </w:t>
      </w:r>
      <w:r>
        <w:t>https://mcp.opencaselaw.ch/entscheid/bger_4A_557_2009</w:t>
      </w:r>
    </w:p>
    <w:p>
      <w:r>
        <w:t>FR: TF 4A 557/2009 du 23 mars 2010</w:t>
      </w:r>
    </w:p>
    <w:p>
      <w:r>
        <w:t>IT: TF 4A 557/2009 del 23 marzo 2010</w:t>
      </w:r>
    </w:p>
    <w:p>
      <w:pPr>
        <w:pStyle w:val="Heading2"/>
      </w:pPr>
      <w:r>
        <w:t>Regeste</w:t>
      </w:r>
    </w:p>
    <w:p>
      <w:r>
        <w:t>bail à loyer; résiliation | Droit des contrats</w:t>
      </w:r>
    </w:p>
    <w:p>
      <w:pPr>
        <w:pStyle w:val="Heading2"/>
      </w:pPr>
      <w:r>
        <w:t>Erwägungen</w:t>
      </w:r>
    </w:p>
    <w:p>
      <w:r>
        <w:rPr>
          <w:b/>
        </w:rPr>
        <w:t>E. 1</w:t>
      </w:r>
    </w:p>
    <w:p>
      <w:r>
        <w:t>Les art. 273 al. 1 et 274f al. 2 CO confèrent un droit d'action ayant pour objet de faire constater, avec l'autorité de la chose jugée, la validité ou, au contraire, la nullité ou l'inefficacité d'une résiliation de bail (cf. Martin Usteri et al., Schweizerisches Mietrecht: Kommentar, 2e éd., Zurich 1998, ch. 20 ad art. 274g CO ). L'arrêt de la Chambre d'appel est un jugement final concernant cette action ( art. 90 LTF ), rendu en dernière instance cantonale ( art. 75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111 II 384 consid. 1 p. 386; voir aussi ATF 119 II 147 consid. 1 p. 149). En l'espèce, le minimum de 15'000 fr. ( art. 74 al. 1 let. a LTF ) est donc atteint. Le recours est formé par une partie qui a pris part à l'instance précédente et succombé dans ses conclusions ( art. 76 al. 1 LTF ); il a été introduit en temps utile ( art. 100 al. 1 LTF ) et dans les formes requises (art. 42 al. 1 à 3 LTF).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 Contrairement à l'opinion de la demanderesse, l'argumentation présentée par son adverse partie ne s'écarte pas sensiblement des constatations déterminantes et elle est donc pleinement recevable.</w:t>
      </w:r>
    </w:p>
    <w:p>
      <w:r>
        <w:rPr>
          <w:b/>
        </w:rPr>
        <w:t>E. 2</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31 consid. 4a p. 32; voir aussi ATF 135 III 112 consid. 4.1 p. 119).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 art. 269 CO qui réprime les loyers abusifs ( ATF 120 II 105 consid. 3b/bb p. 110). Elucider le motif d'un congé relève de la constatation des faits ( ATF 115 II 484 consid. 2b p. 486; arrêt 4C.61/2005 du 27 mai 2005, consid. 4.1, SJ 2006 I 34 p. 35), de sorte que, en principe, ce point échappe au contrôle du Tribunal fédéral. Sur la base d'un arrêt de la Cour de céans et de la doctrine qui y est citée, la Chambre d'appel retient que le bailleur adopte une attitude contradictoire, incompatible avec les règles de la bonne foi, lorsqu'il résilie le bail en raison de faits qui lui étaient connus lors de la conclusion de ce contrat, ou qu'il a tolérés durant une longue période (arrêt 4A_583/2008 du 23 mars 2009, consid. 5.1). La Chambre constate qu'en l'espèce, l'affectation des locaux à un restaurant, avec les nuisances et inconvénients qui peuvent éventuellement en résulter pour le voisinage, était bien connue de la défenderesse lorsque celle-ci a conclu les baux de 1982 et de 1991. En conséquence, selon sa décision, la demanderesse est fondée à réclamer l'annulation du congé que l'autre partie lui a donné en vue de faire cesser cette affectation.</w:t>
      </w:r>
    </w:p>
    <w:p>
      <w:r>
        <w:rPr>
          <w:b/>
        </w:rPr>
        <w:t>E. 3</w:t>
      </w:r>
    </w:p>
    <w:p>
      <w:r>
        <w:t>Il est en principe loisible au bailleur d'insérer, dans le bail de locaux commerciaux et avec l'acceptation du locataire, des clauses destinées à déterminer les activités qui seront admises dans ces locaux; les clauses de ce genre peuvent avoir pour but, notamment, de définir l'ambiance ou le caractère de l'immeuble, ou de prévenir des conflits de voisinage ( ATF 132 III 109 consid. 5 p. 114). En l'espèce, les locaux ont été conventionnellement destinés à l'exploitation d'un restaurant. A supposer que le bailleur promette d'abord de maintenir l'affectation convenue sans limite de durée, il pourrait se délier en faisant valoir que le droit civil fédéral ne reconnaît pas les contrats conclus « pour l'éternité » ( ATF 93 II 290 consid. 7 p. 300; 127 II 69 consid. 5b p. 77 in medio; 131 I 321 consid. 5.5 p. 329). L' art. 271 al. 1 CO ne saurait donc, non plus,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est vrai que le bailleur montre une attitude objectivement contradictoire s'il déclare ne plus vouloir ce que, pourtant, il voulait ou acceptait au moment de la conclusion du contrat, mais ce changement d'intention ne contrevient pas ipso facto aux règles de la bonne foi. En l'occurrence, il faut prendre en considération que les activités exercées dans le centre de Genève ont profondément évolué depuis 1912, et que le secteur où se trouve l'immeuble concerné, particulièrement apprécié, a acquis un indiscutable prestige. Il se peut que les nuisances d'un restaurant, quoique normales et prévisibles, y soient moins aisément tolérées aujourd'hui qu'autrefois. La défenderesse a allégué des inconvénients dont d'autres locataires se sont parfois plaints, tels que des odeurs de cuisine. Il se peut aussi qu'une modification de l'affectation du rez-de-chaussée, selon la tendance observée dans le secteur, accroisse encore le potentiel des autres locaux existant dans le bâtiment. Dans ces conditions, il n'apparaît pas que l'intention de réaliser cette modification, manifestée par la défenderesse près de quinze ans après la conclusion du bail à loyer le plus récent, soit incompatible avec les règles de la bonne foi. La présente affaire se distingue nettement de celle à laquelle la Chambre d'appel fait référence, où le bailleur, après avoir remis en location un rez-de-chaussée pour l'exploitation d'un restaurant, avait installé son fils au premier étage et prétendait résilier le contrat en raison des nuisances dont ce dernier faisait état. En réalité, il faut admettre que l' art. 271 al. 1 CO laisse subsister, en principe, le droit du bailleur de résilier le contrat dans le but d'adapter la manière d'exploiter son bien, selon ce qu'il juge le plus conforme à ses intérêts (RICHARD BARBEY, Protection contre les congés concernant les baux d'habitation et de locaux commerciaux, 1991, p. 120 n° 36). On a d'ailleurs vu que le bailleur peut légitimement vouloir se procurer un rendement plus élevé. Cette disposition légale ne permet pas non plus d'opposer au bailleur les aspects éventuellement regrettables que peut présenter, du point de vue de l'intérêt général, l'évolution des activités et des commerces pratiqués dans le centre de la ville.</w:t>
      </w:r>
    </w:p>
    <w:p>
      <w:r>
        <w:rPr>
          <w:b/>
        </w:rPr>
        <w:t>E. 4</w:t>
      </w:r>
    </w:p>
    <w:p>
      <w:r>
        <w:t>La Chambre d'appel n'a pas examiné si les règles de droit public du plan de site de la rade s'opposent de toute manière, selon la thèse de la demanderesse, au changement d'affection voulu par la défenderesse. A supposer que le changement soit de toute évidence exclu par ces règles, le congé devrait probablement être jugé pour ce motif inconciliable avec les règles de la bonne foi (cf. arrêt 4P.274/2004 du 24 mars 2005, consid. 3.3). Toutefois, selon le témoignage d'une collaboratrice de l'office cantonal du patrimoine et des sites, recueilli par le Tribunal des baux et loyers, le plan de site de la rade n'exclut pas ce changement d'affectation.</w:t>
      </w:r>
    </w:p>
    <w:p>
      <w:r>
        <w:rPr>
          <w:b/>
        </w:rPr>
        <w:t>E. 5</w:t>
      </w:r>
    </w:p>
    <w:p>
      <w:r>
        <w:t>Il n'apparaît pas qu'une violation des règles de la bonne foi soit par ailleurs imputable à la défenderesse. En particulier, bien que la résiliation du contrat soit de nature à entraîner des conséquences pénibles pour la demanderesse, parce que celle-ci ne trouvera peut-être pas de locaux de remplacement adéquats dans le centre de Genève, on ne constate pas de disproportion grossière dans les intérêts en présence. Il faut observer à ce sujet que le bailleur est très fréquemment aussi le propriétaire de la chose louée, et qu'il a à ce titre un lien a priori perpétuel avec ce bien, tandis que le locataire, lui, ne peut se trouver que dans un rapport temporaire. C'est pourquoi l'intérêt du bailleur à exploiter la chose de la manière la plus favorable pour lui est en principe prépondérant. Au regard de l' art. 271 al. 1 CO , seules des circonstances particulières, qui n'apparaissent pas dans la présente affaire, peuvent justifier que cet intérêt doive céder le pas à celui du locataire. La défenderesse a indiqué n'avoir aucun projet précis pour l'affectation future des locaux, mais son intérêt à la modifier ne s'en révèle pas pour autant futile; elle ignore d'ailleurs à quelle date les locaux lui seront effectivement restitués et elle n'est donc guère en mesure, dans cette situation, d'élaborer un projet plus concret. Il s'ensuit que l'autre partie n'est pas fondée à réclamer l'annulation de la résiliation communiquée le 4 mai 2006; celle-ci est au contraire valable.</w:t>
      </w:r>
    </w:p>
    <w:p>
      <w:r>
        <w:rPr>
          <w:b/>
        </w:rPr>
        <w:t>E. 6</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135 III 121 consid. 2 p. 123; 125 III 226 consid. 4b p. 230). Selon les constatations du Tribunal des baux et loyers, la demanderesse a vainement entrepris de nombreuses démarches afin de trouver des locaux de remplacement. Cette partie a aussi affirmé, par sa représentante à l'audience de ce tribunal, qu'elle n'envisage pas d'exploiter son restaurant ailleurs. La défenderesse se prévaut de cette déclaration pour s'opposer à toute prolongation du contrat. Néanmoins, compte tenu que la demanderesse est menacée de devoir suspendre son activité et que la réaffectation des locaux actuels ne présente aucune urgence pour la défenderesse, il se justifie que le contrat soit prolongé de la durée maximum de six ans prévue par la loi, afin que la locataire puisse poursuivre la recherche de locaux de remplacement appropriés.</w:t>
      </w:r>
    </w:p>
    <w:p>
      <w:r>
        <w:rPr>
          <w:b/>
        </w:rPr>
        <w:t>E. 7</w:t>
      </w:r>
    </w:p>
    <w:p>
      <w:r>
        <w:t>Compte tenu qu'aucune des parties n'obtient entièrement gain de cause, l'émolument judiciaire sera réparti par moitié entre elles et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