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4A_556/2021 vom 21. März 2022</w:t>
      </w:r>
    </w:p>
    <w:p>
      <w:r>
        <w:t>Bundesgericht, 2022-03-21, DE</w:t>
      </w:r>
    </w:p>
    <w:p>
      <w:r>
        <w:rPr>
          <w:b/>
        </w:rPr>
        <w:t xml:space="preserve">Quelle: </w:t>
      </w:r>
      <w:r>
        <w:t>https://mcp.opencaselaw.ch/entscheid/bger_4A_556_2021</w:t>
      </w:r>
    </w:p>
    <w:p>
      <w:r>
        <w:t>FR: TF 4A_556/2021 du 21 mars 2022</w:t>
      </w:r>
    </w:p>
    <w:p>
      <w:r>
        <w:t>IT: TF 4A_556/2021 del 21 marzo 2022</w:t>
      </w:r>
    </w:p>
    <w:p>
      <w:pPr>
        <w:pStyle w:val="Heading2"/>
      </w:pPr>
      <w:r>
        <w:t>Erwägungen</w:t>
      </w:r>
    </w:p>
    <w:p>
      <w:r>
        <w:rPr>
          <w:b/>
        </w:rPr>
        <w:t>E. 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Der Beschwerdeführer macht in seiner Beschwerde unter dem Titel "Sachverhalt" geltend, nachdem auf die Vorbringen in seinen Rechtsschriften mehrheitlich nicht eingegangen bzw. auf die Berufung nicht eingetreten worden sei, wiederhole er die Ausführungen zur Sache. Er zeigt aber nicht hinreichend (mit präzisem Aktenverweis) auf, dass die entsprechenden Sachverhaltselemente prozesskonform ins Verfahren eingebracht wurden. Darauf ist nicht einzutreten. Dies gilt auch, soweit er Beweise offeriert, ohne darzulegen, dass er diese bereits vor den Vorinstanzen prozesskonform angeboten hat. Schliesslich genügt es auch nicht, pauschal auf Beilagen der Beschwerdegegnerin zu verweisen, mit dem Ziel, den vorinstanzlich festgestellten Sachverhalt zu ergänzen. Massgebend ist der Sachverhalt, wie er von der Vorinstanz festgestellt worden ist.</w:t>
      </w:r>
    </w:p>
    <w:p>
      <w:r>
        <w:rPr>
          <w:b/>
        </w:rPr>
        <w:t>E. 3</w:t>
      </w:r>
    </w:p>
    <w:p>
      <w:r>
        <w:t>Der Beschwerdeführer macht geltend, der vorinstanzliche Vorwurf, er habe seine Vorbringen im Berufungsverfahren ungenügend begründet, sei unzutreffend. Er zeigt aber nicht auf, dass er - entgegen der Vorinstanz - im erstinstanzlichen Verfahren hinreichend geltend gemacht hätte, dass die Entschädigungsfolgen im Zürcher Verfahren auch Prozesskosten beträfen, die vor dem Abschluss des Prozessfinanzierungsvertrags angefallen und durch diesen nicht erfasst seien. Er macht zwar geltend, die Vorinstanz sei auf seine Vorbringen nicht eingetreten, womit sie seinen Anspruch auf rechtliches Gehör ( Art. 29 Abs. 2 BV ) verletzt und in Willkür verfallen sei. Dabei legt er aber nicht hinreichend dar, welche seiner wesentlichen Vorbringen die Vorinstanz nicht berücksichtigt haben soll bzw. inwiefern deren Berücksichtigung zu einem anderen Ergebnis geführt hätte. Damit genügt er den Rügeanforderungen nicht (vgl. hiervor E. 1).</w:t>
      </w:r>
    </w:p>
    <w:p>
      <w:r>
        <w:rPr>
          <w:b/>
        </w:rPr>
        <w:t>E. 4</w:t>
      </w:r>
    </w:p>
    <w:p>
      <w:r>
        <w:t>Der Beschwerdeführer rügt, die Vorinstanz verneine eine Verletzung der gerichtlichen Fragepflicht ( Art. 56 ZPO ) durch die Erstinstanz, womit sie ihrerseits Bundesrecht verletze. Der vorliegende Fall sei ein Musterbeispiel für die Anwendung der gerichtlichen Fragepflicht. Die Beschwerdegegnerin sei bereits im erstinstanzlichen Verfahren anwaltlich vertreten gewesen, er hingegen nicht.</w:t>
      </w:r>
    </w:p>
    <w:p>
      <w:r>
        <w:rPr>
          <w:b/>
        </w:rPr>
        <w:t>E. 4.1</w:t>
      </w:r>
    </w:p>
    <w:p>
      <w:r>
        <w:t>Ist das Vorbringen einer Partei unklar, widersprüchlich, unbestimmt oder offensichtlich unvollständig, so gibt ihr das Gericht durch entsprechende Fragen Gelegenheit zur Klarstellung und zur Ergänzung ( Art. 56 ZPO ).</w:t>
      </w:r>
    </w:p>
    <w:p>
      <w:r>
        <w:t>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(Urteile 4A_446/2020 vom 8. März 2021 E. 7.3.1; 4A_375/2015 vom 26. Januar 2016 E. 7.1, nicht publ. in: BGE 142 III 102 ; 4A_78/2014 und 4A_80/2014 vom 23. September 2014 E. 3.3.3 mit Hinweisen).</w:t>
      </w:r>
    </w:p>
    <w:p>
      <w:r>
        <w:t>Die gerichtliche Fragepflicht nimmt den Parteien die Verantwortung für die zeitgerechte Prozessführung nicht ab (Urteil 5A_921/2014 vom 11. März 2015 E. 3.4.2; zit. Urteil 4A_78/2014 und 4A_80/2014 E. 3.3.3 mit Literaturhinweis). Dies bedeutet insbesondere, dass Tatsachen innerhalb der gesetzlich vorgegebenen zeitlichen Schranken behauptet und belegt werden müssen, mit anderen Worten, der Eventualgrundsatz und die jeweils geltende Novenregelung zu berücksichtigen sind (zit. Urteil 5A_921/2014 E. 3.4.2 mit Literaturhinweis).</w:t>
      </w:r>
    </w:p>
    <w:p>
      <w:r>
        <w:rPr>
          <w:b/>
        </w:rPr>
        <w:t>E. 4.2</w:t>
      </w:r>
    </w:p>
    <w:p>
      <w:r>
        <w:t>Die Vorinstanz erwog, die Erstinstanz habe davon ausgehen können, der erst im Berufungsverfahren anwaltlich vertretene Beschwerdeführer habe bewusst nicht bestritten, sich grundsätzlich verpflichtet zu haben, die Prozesskosten der Beschwerdegegnerin zu übernehmen. Die Erstinstanz habe keinen Anlass zur Annahme gehabt, er hätte aus Unbeholfenheit vergessen, darzulegen, dass sich die eingeklagten Forderungen nicht vollumfänglich auf den Prozessfinanzierungsvertrag abstützen liessen, zumal im geänderten Vertrag von der Übernahme sämtlicher angefallener Kosten die Rede sei. Auch einem Laie hätte ersichtlich sein müssen, dass er dies beim Gericht darlegen müsste, falls seiner Auffassung nach nicht die vollumfängliche Abdeckung der Kosten vereinbart gewesen wäre. Ein Nachfragen des Gerichts, ob die eingeklagten Forderungen vollständig durch den Prozessfinanzierungsvertrag gedeckt seien, hätte eine einseitige Bevorzugung des Beschwerdeführers dargestellt. Daher habe kein Anlass bestanden, den Beschwerdeführer mündlich zum Prozessfinanzierungsvertrag zu befragen, zumal dieser auf eine Hauptverhandlung verzichtet habe. Daher bestehe auch kein Anlass, eine solche Befragung im Rahmen einer mündlichen Berufungsverhandlung nachzuholen.</w:t>
      </w:r>
    </w:p>
    <w:p>
      <w:r>
        <w:rPr>
          <w:b/>
        </w:rPr>
        <w:t>E. 4.3</w:t>
      </w:r>
    </w:p>
    <w:p>
      <w:r>
        <w:t>Der Beschwerdeführer vermag keine Verletzung von Art. 56 ZPO darzutun. Er übergeht, dass seine Vorbringen zur Frage, ob die eingeklagten Forderungen vollumfänglich vom Vertrag gedeckt seien, nicht lückenhaft waren, sondern dass er gemäss den für das Bundesgericht verbindlichen vorinstanzlichen Feststellungen gar keine diesbezüglichen Ausführungen gemacht hat. Wie die Vorinstanz ohne Verletzung von Bundesrecht erwog, durfte von ihm im erstinstanzlichen Verfahren (auch als nicht anwaltlich vertretener Laie) erwartet werden, dass er seine Auffassung kund tut, wonach nicht sämtliche Kosten- und Entschädigungsfolgen durch den Prozessfinanzierungsvertrag abgedeckt seien. Von ihm hätte erwartet werden dürfen, dass er im erstinstanzlichen Verfahren zumindest geltend macht, dass er in diesem Sinne das Ausmass seiner Zahlungspflicht bestreitet. Dies wäre auch ohne vertiefte Ausführungen zur eigentlichen Auslegung des Prozessfinanzierungsvertrags bzw. dessen Modifikation möglich gewesen. Er macht in seiner Beschwerde denn auch selbst geltend, dass in Ziffer 7 der Klage von der Beschwerdegegnerin ausgeführt worden sei, er habe sich (durch die Modifikation des Prozessfinanzierungsvertrags) neu verpflichtet, sämtliche angefallene Kosten und auch die Kosten der Beschwerde an das Bundesgericht zu bezahlen. Damit musste ihm klar sein, dass er diese Aussage bestreiten musste. Seine Aussage, er hätte mangels expliziter Aussage keine Chance gehabt, die Interpretation des (modifizierten) Prozessfinanzierungsvertrags durch die Beschwerdegegnerin zu bestreiten, ist somit unbegründet. Der Umstand, dass er die Abweisung der Klage beantragte, reicht für die Annahme einer diesbezüglich (unvollständigen) Bestreitung jedenfalls nicht. Damit geht auch sein Vorwurf fehl, die Vorinstanzen hätten das Ziel einer materiell sachgerechten Erledigung des Rechtsstreits vereitelt. Nicht einschlägig sind daher auch seine Ausführungen, wonach es noch diverse vorgeschaltete Wege gegeben hätte, Treu und Glauben im Prozess bzw. Art. 56 ZPO wenigstens im Ansatz nachzukommen, zumal es diesbezüglich auch an der Erschöpfung des materiellen Instanzenzugs fehlt (vgl. BGE 143 III 290 E. 1.1). Unbegründet ist nach dem Gesagten schliesslich auch sein Einwand, dass die Erstinstanz unabhängig von seinem Verzicht eine Hauptverhandlung hätte durchführen müssen.</w:t>
      </w:r>
    </w:p>
    <w:p>
      <w:r>
        <w:t>Zusammenfassend hat die Vorinstanz kein Bundesrecht verletzt, indem sie eine Verletzung der gerichtlichen Fragepflicht ( Art. 56 ZPO ) durch die Erstinstanz verneinte.</w:t>
      </w:r>
    </w:p>
    <w:p>
      <w:r>
        <w:rPr>
          <w:b/>
        </w:rPr>
        <w:t>E. 5</w:t>
      </w:r>
    </w:p>
    <w:p>
      <w:r>
        <w:t>Nach dem Gesagten ist die Beschwerde abzuweisen, soweit überhaupt darauf einzutreten ist. Der Beschwerdeführer wird kostenpflichtig ( Art. 66 Abs. 1 BGG ). Eine Parteientschädigung ist nicht geschuldet, da keine Vernehmlassung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